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BD" w:rsidRDefault="003C02BD">
      <w:pPr>
        <w:pBdr>
          <w:bottom w:val="single" w:sz="12" w:space="1" w:color="auto"/>
        </w:pBdr>
        <w:jc w:val="both"/>
        <w:rPr>
          <w:b/>
          <w:snapToGrid w:val="0"/>
        </w:rPr>
      </w:pPr>
    </w:p>
    <w:p w:rsidR="00F00289" w:rsidRDefault="00F00289">
      <w:pPr>
        <w:jc w:val="both"/>
        <w:rPr>
          <w:b/>
          <w:snapToGrid w:val="0"/>
        </w:rPr>
      </w:pPr>
    </w:p>
    <w:p w:rsidR="003C02BD" w:rsidRPr="003C02BD" w:rsidRDefault="003C02BD" w:rsidP="003C02BD">
      <w:pPr>
        <w:jc w:val="center"/>
        <w:rPr>
          <w:b/>
          <w:snapToGrid w:val="0"/>
          <w:sz w:val="32"/>
          <w:szCs w:val="32"/>
        </w:rPr>
      </w:pPr>
      <w:r w:rsidRPr="003C02BD">
        <w:rPr>
          <w:b/>
          <w:snapToGrid w:val="0"/>
          <w:sz w:val="32"/>
          <w:szCs w:val="32"/>
        </w:rPr>
        <w:t>Explanatory Note</w:t>
      </w:r>
    </w:p>
    <w:p w:rsidR="003C02BD" w:rsidRPr="003C02BD" w:rsidRDefault="003C02BD" w:rsidP="003C02BD">
      <w:pPr>
        <w:jc w:val="center"/>
        <w:rPr>
          <w:snapToGrid w:val="0"/>
        </w:rPr>
      </w:pPr>
      <w:r w:rsidRPr="003C02BD">
        <w:rPr>
          <w:snapToGrid w:val="0"/>
        </w:rPr>
        <w:t>(Clause 25E of the Environmental Planning and Assessment Regulation 2000)</w:t>
      </w:r>
    </w:p>
    <w:p w:rsidR="00F00289" w:rsidRPr="003C02BD" w:rsidRDefault="00F00289">
      <w:pPr>
        <w:jc w:val="both"/>
        <w:rPr>
          <w:snapToGrid w:val="0"/>
        </w:rPr>
      </w:pPr>
    </w:p>
    <w:p w:rsidR="00F00289" w:rsidRDefault="00F00289">
      <w:pPr>
        <w:jc w:val="both"/>
        <w:rPr>
          <w:b/>
          <w:snapToGrid w:val="0"/>
        </w:rPr>
      </w:pPr>
    </w:p>
    <w:p w:rsidR="00F00289" w:rsidRDefault="003C02BD">
      <w:pPr>
        <w:jc w:val="both"/>
        <w:rPr>
          <w:b/>
          <w:snapToGrid w:val="0"/>
        </w:rPr>
      </w:pPr>
      <w:r>
        <w:rPr>
          <w:b/>
          <w:snapToGrid w:val="0"/>
        </w:rPr>
        <w:t>Draft Planning Agreement</w:t>
      </w:r>
    </w:p>
    <w:p w:rsidR="003C02BD" w:rsidRDefault="003C02BD">
      <w:pPr>
        <w:jc w:val="both"/>
        <w:rPr>
          <w:b/>
          <w:snapToGrid w:val="0"/>
        </w:rPr>
      </w:pPr>
    </w:p>
    <w:p w:rsidR="003C02BD" w:rsidRDefault="005135E6">
      <w:pPr>
        <w:jc w:val="both"/>
        <w:rPr>
          <w:snapToGrid w:val="0"/>
        </w:rPr>
      </w:pPr>
      <w:r>
        <w:rPr>
          <w:snapToGrid w:val="0"/>
        </w:rPr>
        <w:t>The purpose of this explanatory note is to provide a summary of the proposed</w:t>
      </w:r>
      <w:r w:rsidR="00F54F66">
        <w:rPr>
          <w:snapToGrid w:val="0"/>
        </w:rPr>
        <w:t xml:space="preserve"> planning agreement (</w:t>
      </w:r>
      <w:r>
        <w:rPr>
          <w:snapToGrid w:val="0"/>
        </w:rPr>
        <w:t>PA) prepared jointly between Waverley Council and the Developer u</w:t>
      </w:r>
      <w:r w:rsidR="003C02BD" w:rsidRPr="003C02BD">
        <w:rPr>
          <w:i/>
          <w:snapToGrid w:val="0"/>
        </w:rPr>
        <w:t>nder s</w:t>
      </w:r>
      <w:r w:rsidR="009A7A04">
        <w:rPr>
          <w:i/>
          <w:snapToGrid w:val="0"/>
        </w:rPr>
        <w:t xml:space="preserve">7.4 </w:t>
      </w:r>
      <w:r w:rsidR="003C02BD" w:rsidRPr="003C02BD">
        <w:rPr>
          <w:i/>
          <w:snapToGrid w:val="0"/>
        </w:rPr>
        <w:t>of the Environmen</w:t>
      </w:r>
      <w:r w:rsidR="003C02BD">
        <w:rPr>
          <w:i/>
          <w:snapToGrid w:val="0"/>
        </w:rPr>
        <w:t>t</w:t>
      </w:r>
      <w:r w:rsidR="003C02BD" w:rsidRPr="003C02BD">
        <w:rPr>
          <w:i/>
          <w:snapToGrid w:val="0"/>
        </w:rPr>
        <w:t>al Planning and Assessment Act</w:t>
      </w:r>
      <w:r w:rsidR="003C02BD">
        <w:rPr>
          <w:b/>
          <w:snapToGrid w:val="0"/>
        </w:rPr>
        <w:t xml:space="preserve"> </w:t>
      </w:r>
      <w:r w:rsidR="003C02BD" w:rsidRPr="003C02BD">
        <w:rPr>
          <w:snapToGrid w:val="0"/>
        </w:rPr>
        <w:t>1979</w:t>
      </w:r>
      <w:r w:rsidR="005E0A48">
        <w:rPr>
          <w:snapToGrid w:val="0"/>
        </w:rPr>
        <w:t xml:space="preserve"> (the Act)</w:t>
      </w:r>
      <w:r>
        <w:rPr>
          <w:snapToGrid w:val="0"/>
        </w:rPr>
        <w:t>.</w:t>
      </w:r>
    </w:p>
    <w:p w:rsidR="00370CFC" w:rsidRDefault="00370CFC">
      <w:pPr>
        <w:jc w:val="both"/>
        <w:rPr>
          <w:snapToGrid w:val="0"/>
        </w:rPr>
      </w:pPr>
    </w:p>
    <w:p w:rsidR="00D05B72" w:rsidRDefault="005135E6">
      <w:pPr>
        <w:jc w:val="both"/>
        <w:rPr>
          <w:snapToGrid w:val="0"/>
        </w:rPr>
      </w:pPr>
      <w:r>
        <w:rPr>
          <w:snapToGrid w:val="0"/>
        </w:rPr>
        <w:t xml:space="preserve">This explanatory note has been prepared as required by clause 25E of the </w:t>
      </w:r>
      <w:r w:rsidRPr="005135E6">
        <w:rPr>
          <w:i/>
          <w:snapToGrid w:val="0"/>
        </w:rPr>
        <w:t>Environmental Planning and Assessment Regulation 2000.</w:t>
      </w:r>
    </w:p>
    <w:p w:rsidR="00370CFC" w:rsidRDefault="00370CFC">
      <w:pPr>
        <w:jc w:val="both"/>
        <w:rPr>
          <w:snapToGrid w:val="0"/>
        </w:rPr>
      </w:pPr>
    </w:p>
    <w:p w:rsidR="003C02BD" w:rsidRPr="00F84FA7" w:rsidRDefault="003C02BD" w:rsidP="00BD1549">
      <w:pPr>
        <w:numPr>
          <w:ilvl w:val="0"/>
          <w:numId w:val="19"/>
        </w:numPr>
        <w:ind w:left="709" w:hanging="709"/>
        <w:jc w:val="both"/>
        <w:rPr>
          <w:b/>
          <w:snapToGrid w:val="0"/>
        </w:rPr>
      </w:pPr>
      <w:r w:rsidRPr="00F84FA7">
        <w:rPr>
          <w:b/>
          <w:snapToGrid w:val="0"/>
        </w:rPr>
        <w:t>Parties:</w:t>
      </w:r>
    </w:p>
    <w:p w:rsidR="003C02BD" w:rsidRDefault="003C02BD" w:rsidP="003C02BD">
      <w:pPr>
        <w:jc w:val="both"/>
        <w:rPr>
          <w:snapToGrid w:val="0"/>
        </w:rPr>
      </w:pPr>
    </w:p>
    <w:p w:rsidR="003C02BD" w:rsidRDefault="003C02BD" w:rsidP="003C02BD">
      <w:pPr>
        <w:ind w:left="720"/>
        <w:jc w:val="both"/>
        <w:rPr>
          <w:snapToGrid w:val="0"/>
        </w:rPr>
      </w:pPr>
      <w:r w:rsidRPr="005135E6">
        <w:rPr>
          <w:b/>
          <w:snapToGrid w:val="0"/>
        </w:rPr>
        <w:t>Waverley Council</w:t>
      </w:r>
      <w:r>
        <w:rPr>
          <w:snapToGrid w:val="0"/>
        </w:rPr>
        <w:t xml:space="preserve"> (Council) and</w:t>
      </w:r>
    </w:p>
    <w:p w:rsidR="009C3053" w:rsidRDefault="009C3053" w:rsidP="003C02BD">
      <w:pPr>
        <w:ind w:left="720"/>
        <w:jc w:val="both"/>
        <w:rPr>
          <w:snapToGrid w:val="0"/>
        </w:rPr>
      </w:pPr>
    </w:p>
    <w:p w:rsidR="003C02BD" w:rsidRPr="008E0E81" w:rsidRDefault="009A7A04" w:rsidP="009A7A04">
      <w:pPr>
        <w:ind w:left="709" w:right="1206" w:firstLine="11"/>
        <w:rPr>
          <w:b/>
          <w:sz w:val="21"/>
        </w:rPr>
      </w:pPr>
      <w:r w:rsidRPr="009A7A04">
        <w:rPr>
          <w:rFonts w:eastAsia="Arial" w:cs="Arial"/>
          <w:b/>
          <w:bCs/>
          <w:szCs w:val="22"/>
        </w:rPr>
        <w:t xml:space="preserve">K2 PROPERTY DEVELOPMENT GROUP PTY LTD </w:t>
      </w:r>
      <w:proofErr w:type="gramStart"/>
      <w:r w:rsidRPr="009A7A04">
        <w:rPr>
          <w:b/>
          <w:szCs w:val="22"/>
        </w:rPr>
        <w:t>ACN  615</w:t>
      </w:r>
      <w:proofErr w:type="gramEnd"/>
      <w:r w:rsidRPr="009A7A04">
        <w:rPr>
          <w:b/>
          <w:szCs w:val="22"/>
        </w:rPr>
        <w:t xml:space="preserve"> 472 994</w:t>
      </w:r>
      <w:r>
        <w:rPr>
          <w:b/>
          <w:snapToGrid w:val="0"/>
          <w:szCs w:val="22"/>
        </w:rPr>
        <w:t xml:space="preserve"> </w:t>
      </w:r>
      <w:r w:rsidR="005E0A48">
        <w:rPr>
          <w:snapToGrid w:val="0"/>
        </w:rPr>
        <w:t>(Developer</w:t>
      </w:r>
      <w:r w:rsidR="003C02BD">
        <w:rPr>
          <w:snapToGrid w:val="0"/>
        </w:rPr>
        <w:t>)</w:t>
      </w:r>
      <w:r w:rsidR="0060624C">
        <w:rPr>
          <w:snapToGrid w:val="0"/>
        </w:rPr>
        <w:t>.</w:t>
      </w:r>
    </w:p>
    <w:p w:rsidR="003C02BD" w:rsidRDefault="003C02BD" w:rsidP="003C02BD">
      <w:pPr>
        <w:ind w:left="720"/>
        <w:jc w:val="both"/>
        <w:rPr>
          <w:snapToGrid w:val="0"/>
        </w:rPr>
      </w:pPr>
    </w:p>
    <w:p w:rsidR="003C02BD" w:rsidRPr="00F84FA7" w:rsidRDefault="003C02BD" w:rsidP="00BD1549">
      <w:pPr>
        <w:numPr>
          <w:ilvl w:val="0"/>
          <w:numId w:val="19"/>
        </w:numPr>
        <w:ind w:left="709" w:hanging="709"/>
        <w:jc w:val="both"/>
        <w:rPr>
          <w:b/>
          <w:snapToGrid w:val="0"/>
        </w:rPr>
      </w:pPr>
      <w:r w:rsidRPr="00F84FA7">
        <w:rPr>
          <w:b/>
          <w:snapToGrid w:val="0"/>
        </w:rPr>
        <w:t>Description of Subject Land:</w:t>
      </w:r>
    </w:p>
    <w:p w:rsidR="003C02BD" w:rsidRDefault="003C02BD" w:rsidP="003C02BD">
      <w:pPr>
        <w:jc w:val="both"/>
        <w:rPr>
          <w:snapToGrid w:val="0"/>
        </w:rPr>
      </w:pPr>
    </w:p>
    <w:p w:rsidR="003C02BD" w:rsidRPr="003867A9" w:rsidRDefault="005E0A48" w:rsidP="003C02BD">
      <w:pPr>
        <w:ind w:left="720"/>
        <w:jc w:val="both"/>
        <w:rPr>
          <w:snapToGrid w:val="0"/>
          <w:szCs w:val="22"/>
        </w:rPr>
      </w:pPr>
      <w:r w:rsidRPr="003867A9">
        <w:rPr>
          <w:snapToGrid w:val="0"/>
          <w:szCs w:val="22"/>
        </w:rPr>
        <w:t xml:space="preserve">The whole of the land </w:t>
      </w:r>
      <w:r w:rsidR="009C3053" w:rsidRPr="003867A9">
        <w:rPr>
          <w:snapToGrid w:val="0"/>
          <w:szCs w:val="22"/>
        </w:rPr>
        <w:t xml:space="preserve">being </w:t>
      </w:r>
      <w:r w:rsidR="009A7A04" w:rsidRPr="003867A9">
        <w:rPr>
          <w:rFonts w:cs="Arial"/>
          <w:szCs w:val="22"/>
        </w:rPr>
        <w:t xml:space="preserve">Lots 1, 2 and 3 in DP 736495 and Lot 1 in DP 529701 and known as 67 and 69 </w:t>
      </w:r>
      <w:proofErr w:type="spellStart"/>
      <w:r w:rsidR="009A7A04" w:rsidRPr="003867A9">
        <w:rPr>
          <w:rFonts w:cs="Arial"/>
          <w:szCs w:val="22"/>
        </w:rPr>
        <w:t>Penkivil</w:t>
      </w:r>
      <w:proofErr w:type="spellEnd"/>
      <w:r w:rsidR="009A7A04" w:rsidRPr="003867A9">
        <w:rPr>
          <w:rFonts w:cs="Arial"/>
          <w:szCs w:val="22"/>
        </w:rPr>
        <w:t xml:space="preserve"> Street, Bondi</w:t>
      </w:r>
      <w:r w:rsidR="0096596C" w:rsidRPr="003867A9">
        <w:rPr>
          <w:snapToGrid w:val="0"/>
          <w:szCs w:val="22"/>
        </w:rPr>
        <w:t>,</w:t>
      </w:r>
      <w:r w:rsidR="009C3053" w:rsidRPr="003867A9">
        <w:rPr>
          <w:snapToGrid w:val="0"/>
          <w:szCs w:val="22"/>
        </w:rPr>
        <w:t xml:space="preserve"> </w:t>
      </w:r>
      <w:r w:rsidRPr="003867A9">
        <w:rPr>
          <w:snapToGrid w:val="0"/>
          <w:szCs w:val="22"/>
        </w:rPr>
        <w:t xml:space="preserve">is the </w:t>
      </w:r>
      <w:r w:rsidR="003867A9" w:rsidRPr="003867A9">
        <w:rPr>
          <w:snapToGrid w:val="0"/>
          <w:szCs w:val="22"/>
        </w:rPr>
        <w:t>s</w:t>
      </w:r>
      <w:r w:rsidRPr="003867A9">
        <w:rPr>
          <w:snapToGrid w:val="0"/>
          <w:szCs w:val="22"/>
        </w:rPr>
        <w:t xml:space="preserve">ubject Land under the </w:t>
      </w:r>
      <w:r w:rsidR="003C02BD" w:rsidRPr="003867A9">
        <w:rPr>
          <w:snapToGrid w:val="0"/>
          <w:szCs w:val="22"/>
        </w:rPr>
        <w:t>Planning Agreement.</w:t>
      </w:r>
    </w:p>
    <w:p w:rsidR="003C02BD" w:rsidRPr="003867A9" w:rsidRDefault="003C02BD" w:rsidP="003C02BD">
      <w:pPr>
        <w:jc w:val="both"/>
        <w:rPr>
          <w:snapToGrid w:val="0"/>
          <w:szCs w:val="22"/>
        </w:rPr>
      </w:pPr>
    </w:p>
    <w:p w:rsidR="005135E6" w:rsidRDefault="005135E6" w:rsidP="00BD1549">
      <w:pPr>
        <w:numPr>
          <w:ilvl w:val="0"/>
          <w:numId w:val="19"/>
        </w:numPr>
        <w:ind w:left="709" w:hanging="709"/>
        <w:jc w:val="both"/>
        <w:rPr>
          <w:b/>
          <w:snapToGrid w:val="0"/>
        </w:rPr>
      </w:pPr>
      <w:r>
        <w:rPr>
          <w:b/>
          <w:snapToGrid w:val="0"/>
        </w:rPr>
        <w:t>Description of Development:</w:t>
      </w:r>
    </w:p>
    <w:p w:rsidR="005135E6" w:rsidRDefault="005135E6" w:rsidP="005135E6">
      <w:pPr>
        <w:ind w:left="1080" w:hanging="371"/>
        <w:jc w:val="both"/>
        <w:rPr>
          <w:snapToGrid w:val="0"/>
        </w:rPr>
      </w:pPr>
    </w:p>
    <w:p w:rsidR="005135E6" w:rsidRPr="003867A9" w:rsidRDefault="005135E6" w:rsidP="004B0141">
      <w:pPr>
        <w:ind w:left="709"/>
        <w:jc w:val="both"/>
        <w:rPr>
          <w:snapToGrid w:val="0"/>
          <w:szCs w:val="22"/>
        </w:rPr>
      </w:pPr>
      <w:r w:rsidRPr="003867A9">
        <w:rPr>
          <w:snapToGrid w:val="0"/>
          <w:szCs w:val="22"/>
        </w:rPr>
        <w:t xml:space="preserve">The Developer proposes to develop the </w:t>
      </w:r>
      <w:r w:rsidR="003867A9" w:rsidRPr="003867A9">
        <w:rPr>
          <w:snapToGrid w:val="0"/>
          <w:szCs w:val="22"/>
        </w:rPr>
        <w:t>s</w:t>
      </w:r>
      <w:r w:rsidR="00491392" w:rsidRPr="003867A9">
        <w:rPr>
          <w:snapToGrid w:val="0"/>
          <w:szCs w:val="22"/>
        </w:rPr>
        <w:t xml:space="preserve">ubject </w:t>
      </w:r>
      <w:r w:rsidRPr="003867A9">
        <w:rPr>
          <w:snapToGrid w:val="0"/>
          <w:szCs w:val="22"/>
        </w:rPr>
        <w:t>Land</w:t>
      </w:r>
      <w:r w:rsidR="004B0141" w:rsidRPr="003867A9">
        <w:rPr>
          <w:snapToGrid w:val="0"/>
          <w:szCs w:val="22"/>
        </w:rPr>
        <w:t>. T</w:t>
      </w:r>
      <w:r w:rsidR="003867A9">
        <w:rPr>
          <w:snapToGrid w:val="0"/>
          <w:szCs w:val="22"/>
        </w:rPr>
        <w:t xml:space="preserve">he proposed development will comprise </w:t>
      </w:r>
      <w:r w:rsidR="003867A9" w:rsidRPr="003867A9">
        <w:rPr>
          <w:rFonts w:cs="Arial"/>
          <w:szCs w:val="22"/>
        </w:rPr>
        <w:t>modification to approved residential flat building including internal reconfiguration to provide two additional units, additional bay windows, enlarge basement and with offer to enter a Planning Agreement</w:t>
      </w:r>
      <w:r w:rsidR="00D91E8E" w:rsidRPr="003867A9">
        <w:rPr>
          <w:snapToGrid w:val="0"/>
          <w:szCs w:val="22"/>
        </w:rPr>
        <w:t>.</w:t>
      </w:r>
    </w:p>
    <w:p w:rsidR="005135E6" w:rsidRPr="005135E6" w:rsidRDefault="005135E6" w:rsidP="005135E6">
      <w:pPr>
        <w:ind w:left="1080" w:hanging="371"/>
        <w:jc w:val="both"/>
        <w:rPr>
          <w:snapToGrid w:val="0"/>
        </w:rPr>
      </w:pPr>
    </w:p>
    <w:p w:rsidR="005135E6" w:rsidRDefault="005135E6" w:rsidP="00BD1549">
      <w:pPr>
        <w:numPr>
          <w:ilvl w:val="0"/>
          <w:numId w:val="19"/>
        </w:numPr>
        <w:ind w:left="709" w:hanging="709"/>
        <w:jc w:val="both"/>
        <w:rPr>
          <w:b/>
          <w:snapToGrid w:val="0"/>
        </w:rPr>
      </w:pPr>
      <w:r>
        <w:rPr>
          <w:b/>
          <w:snapToGrid w:val="0"/>
        </w:rPr>
        <w:t>Background:</w:t>
      </w:r>
    </w:p>
    <w:p w:rsidR="005135E6" w:rsidRDefault="005135E6" w:rsidP="005135E6">
      <w:pPr>
        <w:ind w:left="1080"/>
        <w:jc w:val="both"/>
        <w:rPr>
          <w:snapToGrid w:val="0"/>
        </w:rPr>
      </w:pPr>
    </w:p>
    <w:p w:rsidR="005135E6" w:rsidRDefault="005135E6" w:rsidP="004B0141">
      <w:pPr>
        <w:ind w:left="709"/>
        <w:jc w:val="both"/>
        <w:rPr>
          <w:snapToGrid w:val="0"/>
        </w:rPr>
      </w:pPr>
      <w:r>
        <w:rPr>
          <w:snapToGrid w:val="0"/>
        </w:rPr>
        <w:t xml:space="preserve">The Developer is the registered proprietor of the </w:t>
      </w:r>
      <w:r w:rsidR="003867A9">
        <w:rPr>
          <w:snapToGrid w:val="0"/>
        </w:rPr>
        <w:t>s</w:t>
      </w:r>
      <w:r w:rsidR="00491392">
        <w:rPr>
          <w:snapToGrid w:val="0"/>
        </w:rPr>
        <w:t>ubject Land</w:t>
      </w:r>
      <w:r>
        <w:rPr>
          <w:snapToGrid w:val="0"/>
        </w:rPr>
        <w:t xml:space="preserve">. </w:t>
      </w:r>
      <w:r w:rsidR="007A0365">
        <w:rPr>
          <w:rFonts w:eastAsia="Arial" w:cs="Arial"/>
        </w:rPr>
        <w:t>The</w:t>
      </w:r>
      <w:r w:rsidR="007A0365">
        <w:rPr>
          <w:rFonts w:eastAsia="Arial" w:cs="Arial"/>
          <w:spacing w:val="60"/>
        </w:rPr>
        <w:t xml:space="preserve"> </w:t>
      </w:r>
      <w:r w:rsidR="007A0365">
        <w:rPr>
          <w:rFonts w:eastAsia="Arial" w:cs="Arial"/>
        </w:rPr>
        <w:t>Developer lodged</w:t>
      </w:r>
      <w:r w:rsidR="007A0365">
        <w:rPr>
          <w:rFonts w:eastAsia="Arial" w:cs="Arial"/>
          <w:spacing w:val="6"/>
        </w:rPr>
        <w:t xml:space="preserve"> </w:t>
      </w:r>
      <w:r w:rsidR="007A0365">
        <w:rPr>
          <w:rFonts w:eastAsia="Arial" w:cs="Arial"/>
        </w:rPr>
        <w:t>a</w:t>
      </w:r>
      <w:r w:rsidR="007A0365">
        <w:rPr>
          <w:rFonts w:eastAsia="Arial" w:cs="Arial"/>
          <w:spacing w:val="11"/>
        </w:rPr>
        <w:t xml:space="preserve"> </w:t>
      </w:r>
      <w:r w:rsidR="008E0E81">
        <w:rPr>
          <w:rFonts w:eastAsia="Arial" w:cs="Arial"/>
        </w:rPr>
        <w:t>development application</w:t>
      </w:r>
      <w:r w:rsidR="007A0365">
        <w:rPr>
          <w:rFonts w:eastAsia="Arial" w:cs="Arial"/>
        </w:rPr>
        <w:t xml:space="preserve"> with</w:t>
      </w:r>
      <w:r w:rsidR="007A0365">
        <w:rPr>
          <w:rFonts w:eastAsia="Arial" w:cs="Arial"/>
          <w:spacing w:val="9"/>
        </w:rPr>
        <w:t xml:space="preserve"> </w:t>
      </w:r>
      <w:r w:rsidR="007A0365">
        <w:rPr>
          <w:rFonts w:eastAsia="Arial" w:cs="Arial"/>
        </w:rPr>
        <w:t>Council,</w:t>
      </w:r>
      <w:r w:rsidR="007A0365">
        <w:rPr>
          <w:rFonts w:eastAsia="Arial" w:cs="Arial"/>
          <w:spacing w:val="5"/>
        </w:rPr>
        <w:t xml:space="preserve"> </w:t>
      </w:r>
      <w:r w:rsidR="007A0365">
        <w:rPr>
          <w:rFonts w:eastAsia="Arial" w:cs="Arial"/>
        </w:rPr>
        <w:t xml:space="preserve">DA </w:t>
      </w:r>
      <w:r w:rsidR="003867A9">
        <w:rPr>
          <w:rFonts w:cs="Arial"/>
          <w:sz w:val="21"/>
          <w:szCs w:val="21"/>
        </w:rPr>
        <w:t>531/2015/A</w:t>
      </w:r>
      <w:r w:rsidR="00032F6D">
        <w:rPr>
          <w:rFonts w:eastAsia="Arial" w:cs="Arial"/>
        </w:rPr>
        <w:t>. The Developer o</w:t>
      </w:r>
      <w:r w:rsidR="007A0365">
        <w:rPr>
          <w:rFonts w:eastAsia="Arial" w:cs="Arial"/>
        </w:rPr>
        <w:t>ffered</w:t>
      </w:r>
      <w:r w:rsidR="007A0365">
        <w:rPr>
          <w:rFonts w:eastAsia="Arial" w:cs="Arial"/>
          <w:spacing w:val="6"/>
        </w:rPr>
        <w:t xml:space="preserve"> </w:t>
      </w:r>
      <w:r w:rsidR="007A0365">
        <w:rPr>
          <w:rFonts w:eastAsia="Arial" w:cs="Arial"/>
        </w:rPr>
        <w:t>to enter</w:t>
      </w:r>
      <w:r w:rsidR="007A0365">
        <w:rPr>
          <w:rFonts w:eastAsia="Arial" w:cs="Arial"/>
          <w:spacing w:val="19"/>
        </w:rPr>
        <w:t xml:space="preserve"> </w:t>
      </w:r>
      <w:r w:rsidR="007A0365">
        <w:rPr>
          <w:rFonts w:eastAsia="Arial" w:cs="Arial"/>
        </w:rPr>
        <w:t>into</w:t>
      </w:r>
      <w:r w:rsidR="007A0365">
        <w:rPr>
          <w:rFonts w:eastAsia="Arial" w:cs="Arial"/>
          <w:spacing w:val="20"/>
        </w:rPr>
        <w:t xml:space="preserve"> </w:t>
      </w:r>
      <w:r w:rsidR="007A0365">
        <w:rPr>
          <w:rFonts w:eastAsia="Arial" w:cs="Arial"/>
        </w:rPr>
        <w:t>a</w:t>
      </w:r>
      <w:r w:rsidR="007A0365">
        <w:rPr>
          <w:rFonts w:eastAsia="Arial" w:cs="Arial"/>
          <w:spacing w:val="23"/>
        </w:rPr>
        <w:t xml:space="preserve"> </w:t>
      </w:r>
      <w:r w:rsidR="007A0365">
        <w:rPr>
          <w:rFonts w:eastAsia="Arial" w:cs="Arial"/>
        </w:rPr>
        <w:t>Planning</w:t>
      </w:r>
      <w:r w:rsidR="007A0365">
        <w:rPr>
          <w:rFonts w:eastAsia="Arial" w:cs="Arial"/>
          <w:spacing w:val="15"/>
        </w:rPr>
        <w:t xml:space="preserve"> </w:t>
      </w:r>
      <w:r w:rsidR="007A0365">
        <w:rPr>
          <w:rFonts w:eastAsia="Arial" w:cs="Arial"/>
        </w:rPr>
        <w:t>Agreement</w:t>
      </w:r>
      <w:r w:rsidR="007A0365">
        <w:rPr>
          <w:rFonts w:eastAsia="Arial" w:cs="Arial"/>
          <w:spacing w:val="13"/>
        </w:rPr>
        <w:t xml:space="preserve"> </w:t>
      </w:r>
      <w:r w:rsidR="007A0365">
        <w:rPr>
          <w:rFonts w:eastAsia="Arial" w:cs="Arial"/>
        </w:rPr>
        <w:t>wi</w:t>
      </w:r>
      <w:r w:rsidR="007A0365">
        <w:rPr>
          <w:rFonts w:eastAsia="Arial" w:cs="Arial"/>
          <w:spacing w:val="1"/>
        </w:rPr>
        <w:t>t</w:t>
      </w:r>
      <w:r w:rsidR="007A0365">
        <w:rPr>
          <w:rFonts w:eastAsia="Arial" w:cs="Arial"/>
        </w:rPr>
        <w:t>h</w:t>
      </w:r>
      <w:r w:rsidR="007A0365">
        <w:rPr>
          <w:rFonts w:eastAsia="Arial" w:cs="Arial"/>
          <w:spacing w:val="20"/>
        </w:rPr>
        <w:t xml:space="preserve"> </w:t>
      </w:r>
      <w:r w:rsidR="007A0365">
        <w:rPr>
          <w:rFonts w:eastAsia="Arial" w:cs="Arial"/>
        </w:rPr>
        <w:t>Council</w:t>
      </w:r>
      <w:r w:rsidR="007A0365">
        <w:rPr>
          <w:rFonts w:eastAsia="Arial" w:cs="Arial"/>
          <w:spacing w:val="17"/>
        </w:rPr>
        <w:t xml:space="preserve"> </w:t>
      </w:r>
      <w:r w:rsidR="007A0365">
        <w:rPr>
          <w:rFonts w:eastAsia="Arial" w:cs="Arial"/>
        </w:rPr>
        <w:t>pursuant</w:t>
      </w:r>
      <w:r w:rsidR="007A0365">
        <w:rPr>
          <w:rFonts w:eastAsia="Arial" w:cs="Arial"/>
          <w:spacing w:val="15"/>
        </w:rPr>
        <w:t xml:space="preserve"> </w:t>
      </w:r>
      <w:r w:rsidR="007A0365">
        <w:rPr>
          <w:rFonts w:eastAsia="Arial" w:cs="Arial"/>
        </w:rPr>
        <w:t>to</w:t>
      </w:r>
      <w:r w:rsidR="007A0365">
        <w:rPr>
          <w:rFonts w:eastAsia="Arial" w:cs="Arial"/>
          <w:spacing w:val="22"/>
        </w:rPr>
        <w:t xml:space="preserve"> </w:t>
      </w:r>
      <w:r w:rsidR="007A0365">
        <w:rPr>
          <w:rFonts w:eastAsia="Arial" w:cs="Arial"/>
        </w:rPr>
        <w:t>section</w:t>
      </w:r>
      <w:r w:rsidR="003867A9">
        <w:rPr>
          <w:rFonts w:eastAsia="Arial" w:cs="Arial"/>
        </w:rPr>
        <w:t xml:space="preserve"> 7.4</w:t>
      </w:r>
      <w:r w:rsidR="007A0365">
        <w:rPr>
          <w:rFonts w:eastAsia="Arial" w:cs="Arial"/>
          <w:spacing w:val="20"/>
        </w:rPr>
        <w:t xml:space="preserve"> </w:t>
      </w:r>
      <w:r>
        <w:rPr>
          <w:snapToGrid w:val="0"/>
        </w:rPr>
        <w:t>of the Act to</w:t>
      </w:r>
      <w:r w:rsidR="0011097F">
        <w:rPr>
          <w:snapToGrid w:val="0"/>
        </w:rPr>
        <w:t xml:space="preserve"> provide a monetary </w:t>
      </w:r>
      <w:r w:rsidR="0060624C">
        <w:rPr>
          <w:snapToGrid w:val="0"/>
        </w:rPr>
        <w:t xml:space="preserve">contribution </w:t>
      </w:r>
      <w:r w:rsidR="0060624C" w:rsidRPr="007A0365">
        <w:rPr>
          <w:snapToGrid w:val="0"/>
        </w:rPr>
        <w:t>as the development</w:t>
      </w:r>
      <w:r w:rsidRPr="007A0365">
        <w:rPr>
          <w:snapToGrid w:val="0"/>
        </w:rPr>
        <w:t xml:space="preserve"> application provided for additional floor space which exceeds floor space controls permitted for such buildings under Council’s planning controls.</w:t>
      </w:r>
      <w:r>
        <w:rPr>
          <w:snapToGrid w:val="0"/>
        </w:rPr>
        <w:t xml:space="preserve"> The offer is in line with Council’s Voluntary Planning Agreement </w:t>
      </w:r>
      <w:r w:rsidR="0011097F">
        <w:rPr>
          <w:snapToGrid w:val="0"/>
        </w:rPr>
        <w:t>Policy 2014</w:t>
      </w:r>
      <w:r>
        <w:rPr>
          <w:snapToGrid w:val="0"/>
        </w:rPr>
        <w:t>.</w:t>
      </w:r>
      <w:r w:rsidR="008B6455">
        <w:rPr>
          <w:snapToGrid w:val="0"/>
        </w:rPr>
        <w:t xml:space="preserve"> </w:t>
      </w:r>
    </w:p>
    <w:p w:rsidR="00C157FB" w:rsidRPr="005135E6" w:rsidRDefault="00C157FB" w:rsidP="005135E6">
      <w:pPr>
        <w:ind w:left="1080"/>
        <w:jc w:val="both"/>
        <w:rPr>
          <w:snapToGrid w:val="0"/>
        </w:rPr>
      </w:pPr>
    </w:p>
    <w:p w:rsidR="003C02BD" w:rsidRPr="00F84FA7" w:rsidRDefault="003C02BD" w:rsidP="00BD1549">
      <w:pPr>
        <w:numPr>
          <w:ilvl w:val="0"/>
          <w:numId w:val="19"/>
        </w:numPr>
        <w:ind w:left="709" w:hanging="709"/>
        <w:jc w:val="both"/>
        <w:rPr>
          <w:b/>
          <w:snapToGrid w:val="0"/>
        </w:rPr>
      </w:pPr>
      <w:r w:rsidRPr="00F84FA7">
        <w:rPr>
          <w:b/>
          <w:snapToGrid w:val="0"/>
        </w:rPr>
        <w:t>Summary of Objectives, Nature and Effect of the Draft Planning Agreement:</w:t>
      </w:r>
    </w:p>
    <w:p w:rsidR="003C02BD" w:rsidRPr="00F84FA7" w:rsidRDefault="003C02BD" w:rsidP="00F84FA7">
      <w:pPr>
        <w:jc w:val="center"/>
        <w:rPr>
          <w:b/>
          <w:snapToGrid w:val="0"/>
        </w:rPr>
      </w:pPr>
    </w:p>
    <w:p w:rsidR="003867A9" w:rsidRDefault="007A0365" w:rsidP="003867A9">
      <w:pPr>
        <w:ind w:left="720"/>
        <w:jc w:val="both"/>
        <w:rPr>
          <w:snapToGrid w:val="0"/>
        </w:rPr>
      </w:pPr>
      <w:r>
        <w:rPr>
          <w:rFonts w:eastAsia="Arial" w:cs="Arial"/>
        </w:rPr>
        <w:t>The</w:t>
      </w:r>
      <w:r>
        <w:rPr>
          <w:rFonts w:eastAsia="Arial" w:cs="Arial"/>
          <w:spacing w:val="7"/>
        </w:rPr>
        <w:t xml:space="preserve"> </w:t>
      </w:r>
      <w:r>
        <w:rPr>
          <w:rFonts w:eastAsia="Arial" w:cs="Arial"/>
        </w:rPr>
        <w:t>Planni</w:t>
      </w:r>
      <w:r>
        <w:rPr>
          <w:rFonts w:eastAsia="Arial" w:cs="Arial"/>
          <w:spacing w:val="-1"/>
        </w:rPr>
        <w:t>n</w:t>
      </w:r>
      <w:r>
        <w:rPr>
          <w:rFonts w:eastAsia="Arial" w:cs="Arial"/>
        </w:rPr>
        <w:t>g</w:t>
      </w:r>
      <w:r>
        <w:rPr>
          <w:rFonts w:eastAsia="Arial" w:cs="Arial"/>
          <w:spacing w:val="2"/>
        </w:rPr>
        <w:t xml:space="preserve"> </w:t>
      </w:r>
      <w:r>
        <w:rPr>
          <w:rFonts w:eastAsia="Arial" w:cs="Arial"/>
        </w:rPr>
        <w:t>Agreement will</w:t>
      </w:r>
      <w:r>
        <w:rPr>
          <w:rFonts w:eastAsia="Arial" w:cs="Arial"/>
          <w:spacing w:val="8"/>
        </w:rPr>
        <w:t xml:space="preserve"> </w:t>
      </w:r>
      <w:r>
        <w:rPr>
          <w:rFonts w:eastAsia="Arial" w:cs="Arial"/>
          <w:spacing w:val="-1"/>
        </w:rPr>
        <w:t>a</w:t>
      </w:r>
      <w:r>
        <w:rPr>
          <w:rFonts w:eastAsia="Arial" w:cs="Arial"/>
        </w:rPr>
        <w:t>ss</w:t>
      </w:r>
      <w:r>
        <w:rPr>
          <w:rFonts w:eastAsia="Arial" w:cs="Arial"/>
          <w:spacing w:val="-1"/>
        </w:rPr>
        <w:t>i</w:t>
      </w:r>
      <w:r>
        <w:rPr>
          <w:rFonts w:eastAsia="Arial" w:cs="Arial"/>
        </w:rPr>
        <w:t>st</w:t>
      </w:r>
      <w:r>
        <w:rPr>
          <w:rFonts w:eastAsia="Arial" w:cs="Arial"/>
          <w:spacing w:val="3"/>
        </w:rPr>
        <w:t xml:space="preserve"> </w:t>
      </w:r>
      <w:r>
        <w:rPr>
          <w:rFonts w:eastAsia="Arial" w:cs="Arial"/>
        </w:rPr>
        <w:t>Council</w:t>
      </w:r>
      <w:r>
        <w:rPr>
          <w:rFonts w:eastAsia="Arial" w:cs="Arial"/>
          <w:spacing w:val="3"/>
        </w:rPr>
        <w:t xml:space="preserve"> </w:t>
      </w:r>
      <w:r>
        <w:rPr>
          <w:rFonts w:eastAsia="Arial" w:cs="Arial"/>
        </w:rPr>
        <w:t>in</w:t>
      </w:r>
      <w:r>
        <w:rPr>
          <w:rFonts w:eastAsia="Arial" w:cs="Arial"/>
          <w:spacing w:val="7"/>
        </w:rPr>
        <w:t xml:space="preserve"> </w:t>
      </w:r>
      <w:r>
        <w:rPr>
          <w:rFonts w:eastAsia="Arial" w:cs="Arial"/>
          <w:spacing w:val="-1"/>
        </w:rPr>
        <w:t>a</w:t>
      </w:r>
      <w:r>
        <w:rPr>
          <w:rFonts w:eastAsia="Arial" w:cs="Arial"/>
          <w:spacing w:val="1"/>
        </w:rPr>
        <w:t>c</w:t>
      </w:r>
      <w:r>
        <w:rPr>
          <w:rFonts w:eastAsia="Arial" w:cs="Arial"/>
        </w:rPr>
        <w:t>hieving</w:t>
      </w:r>
      <w:r>
        <w:rPr>
          <w:rFonts w:eastAsia="Arial" w:cs="Arial"/>
          <w:spacing w:val="1"/>
        </w:rPr>
        <w:t xml:space="preserve"> </w:t>
      </w:r>
      <w:r>
        <w:rPr>
          <w:rFonts w:eastAsia="Arial" w:cs="Arial"/>
        </w:rPr>
        <w:t>its</w:t>
      </w:r>
      <w:r>
        <w:rPr>
          <w:rFonts w:eastAsia="Arial" w:cs="Arial"/>
          <w:spacing w:val="7"/>
        </w:rPr>
        <w:t xml:space="preserve"> </w:t>
      </w:r>
      <w:r>
        <w:rPr>
          <w:rFonts w:eastAsia="Arial" w:cs="Arial"/>
        </w:rPr>
        <w:t>objectives</w:t>
      </w:r>
      <w:r>
        <w:rPr>
          <w:rFonts w:eastAsia="Arial" w:cs="Arial"/>
          <w:spacing w:val="1"/>
        </w:rPr>
        <w:t xml:space="preserve"> </w:t>
      </w:r>
      <w:r>
        <w:rPr>
          <w:rFonts w:eastAsia="Arial" w:cs="Arial"/>
          <w:spacing w:val="-1"/>
        </w:rPr>
        <w:t>b</w:t>
      </w:r>
      <w:r>
        <w:rPr>
          <w:rFonts w:eastAsia="Arial" w:cs="Arial"/>
        </w:rPr>
        <w:t>y</w:t>
      </w:r>
      <w:r>
        <w:rPr>
          <w:rFonts w:eastAsia="Arial" w:cs="Arial"/>
          <w:spacing w:val="7"/>
        </w:rPr>
        <w:t xml:space="preserve"> </w:t>
      </w:r>
      <w:r>
        <w:rPr>
          <w:rFonts w:eastAsia="Arial" w:cs="Arial"/>
        </w:rPr>
        <w:t>providing funds</w:t>
      </w:r>
      <w:r>
        <w:rPr>
          <w:rFonts w:eastAsia="Arial" w:cs="Arial"/>
          <w:spacing w:val="3"/>
        </w:rPr>
        <w:t xml:space="preserve"> </w:t>
      </w:r>
      <w:r>
        <w:rPr>
          <w:rFonts w:eastAsia="Arial" w:cs="Arial"/>
        </w:rPr>
        <w:t>which</w:t>
      </w:r>
      <w:r>
        <w:rPr>
          <w:rFonts w:eastAsia="Arial" w:cs="Arial"/>
          <w:spacing w:val="2"/>
        </w:rPr>
        <w:t xml:space="preserve"> </w:t>
      </w:r>
      <w:r>
        <w:rPr>
          <w:rFonts w:eastAsia="Arial" w:cs="Arial"/>
        </w:rPr>
        <w:t>will</w:t>
      </w:r>
      <w:r>
        <w:rPr>
          <w:rFonts w:eastAsia="Arial" w:cs="Arial"/>
          <w:spacing w:val="5"/>
        </w:rPr>
        <w:t xml:space="preserve"> </w:t>
      </w:r>
      <w:r w:rsidR="008E0E81">
        <w:rPr>
          <w:rFonts w:eastAsia="Arial" w:cs="Arial"/>
        </w:rPr>
        <w:t>enable</w:t>
      </w:r>
      <w:r>
        <w:rPr>
          <w:rFonts w:eastAsia="Arial" w:cs="Arial"/>
        </w:rPr>
        <w:t xml:space="preserve"> Council</w:t>
      </w:r>
      <w:r>
        <w:rPr>
          <w:rFonts w:eastAsia="Arial" w:cs="Arial"/>
          <w:spacing w:val="1"/>
        </w:rPr>
        <w:t xml:space="preserve"> </w:t>
      </w:r>
      <w:r>
        <w:rPr>
          <w:rFonts w:eastAsia="Arial" w:cs="Arial"/>
        </w:rPr>
        <w:t>to</w:t>
      </w:r>
      <w:r>
        <w:rPr>
          <w:rFonts w:eastAsia="Arial" w:cs="Arial"/>
          <w:spacing w:val="6"/>
        </w:rPr>
        <w:t xml:space="preserve"> </w:t>
      </w:r>
      <w:r>
        <w:rPr>
          <w:rFonts w:eastAsia="Arial" w:cs="Arial"/>
        </w:rPr>
        <w:t>provide</w:t>
      </w:r>
      <w:r>
        <w:rPr>
          <w:rFonts w:eastAsia="Arial" w:cs="Arial"/>
          <w:spacing w:val="1"/>
        </w:rPr>
        <w:t xml:space="preserve"> </w:t>
      </w:r>
      <w:r>
        <w:rPr>
          <w:rFonts w:eastAsia="Arial" w:cs="Arial"/>
        </w:rPr>
        <w:t>a</w:t>
      </w:r>
      <w:r>
        <w:rPr>
          <w:rFonts w:eastAsia="Arial" w:cs="Arial"/>
          <w:spacing w:val="7"/>
        </w:rPr>
        <w:t xml:space="preserve"> </w:t>
      </w:r>
      <w:r>
        <w:rPr>
          <w:rFonts w:eastAsia="Arial" w:cs="Arial"/>
        </w:rPr>
        <w:t>material public</w:t>
      </w:r>
      <w:r>
        <w:rPr>
          <w:rFonts w:eastAsia="Arial" w:cs="Arial"/>
          <w:spacing w:val="2"/>
        </w:rPr>
        <w:t xml:space="preserve"> </w:t>
      </w:r>
      <w:r>
        <w:rPr>
          <w:rFonts w:eastAsia="Arial" w:cs="Arial"/>
          <w:spacing w:val="-1"/>
        </w:rPr>
        <w:t>b</w:t>
      </w:r>
      <w:r>
        <w:rPr>
          <w:rFonts w:eastAsia="Arial" w:cs="Arial"/>
        </w:rPr>
        <w:t>enefit</w:t>
      </w:r>
      <w:r>
        <w:rPr>
          <w:rFonts w:eastAsia="Arial" w:cs="Arial"/>
          <w:spacing w:val="1"/>
        </w:rPr>
        <w:t xml:space="preserve"> </w:t>
      </w:r>
      <w:r>
        <w:rPr>
          <w:rFonts w:eastAsia="Arial" w:cs="Arial"/>
        </w:rPr>
        <w:t>to</w:t>
      </w:r>
      <w:r>
        <w:rPr>
          <w:rFonts w:eastAsia="Arial" w:cs="Arial"/>
          <w:spacing w:val="6"/>
        </w:rPr>
        <w:t xml:space="preserve"> </w:t>
      </w:r>
      <w:r w:rsidR="003867A9">
        <w:rPr>
          <w:snapToGrid w:val="0"/>
        </w:rPr>
        <w:t xml:space="preserve">residents of areas close to the Development and the broader community </w:t>
      </w:r>
      <w:r w:rsidR="003867A9" w:rsidRPr="00404C88">
        <w:rPr>
          <w:snapToGrid w:val="0"/>
        </w:rPr>
        <w:t xml:space="preserve">by facilitating </w:t>
      </w:r>
      <w:r w:rsidR="003867A9">
        <w:rPr>
          <w:snapToGrid w:val="0"/>
        </w:rPr>
        <w:t>the improvement and regeneration of Waverley Park</w:t>
      </w:r>
      <w:r w:rsidR="003867A9" w:rsidRPr="00404C88">
        <w:rPr>
          <w:rFonts w:cs="Arial"/>
          <w:sz w:val="21"/>
          <w:szCs w:val="21"/>
        </w:rPr>
        <w:t xml:space="preserve"> </w:t>
      </w:r>
      <w:r w:rsidR="003867A9" w:rsidRPr="00404C88">
        <w:rPr>
          <w:snapToGrid w:val="0"/>
        </w:rPr>
        <w:t>under Council's policies and programs directed at infrastructure construction, improvements and maintenance and improving and upgrading playgrounds, parks / reserves and public areas</w:t>
      </w:r>
      <w:r w:rsidR="003867A9" w:rsidRPr="00404C88">
        <w:rPr>
          <w:rFonts w:cs="Arial"/>
          <w:sz w:val="21"/>
          <w:szCs w:val="21"/>
        </w:rPr>
        <w:t xml:space="preserve"> and provision towards</w:t>
      </w:r>
      <w:r w:rsidR="003867A9" w:rsidRPr="00404C88">
        <w:rPr>
          <w:snapToGrid w:val="0"/>
        </w:rPr>
        <w:t xml:space="preserve"> Waverley's Affordable Housing Program.</w:t>
      </w:r>
      <w:r w:rsidR="003867A9">
        <w:rPr>
          <w:snapToGrid w:val="0"/>
        </w:rPr>
        <w:t xml:space="preserve"> </w:t>
      </w:r>
    </w:p>
    <w:p w:rsidR="006F6B8E" w:rsidRPr="00F17F42" w:rsidRDefault="006F6B8E" w:rsidP="006F6B8E">
      <w:pPr>
        <w:ind w:left="720"/>
        <w:jc w:val="both"/>
        <w:rPr>
          <w:snapToGrid w:val="0"/>
        </w:rPr>
      </w:pPr>
      <w:r w:rsidRPr="00F17F42">
        <w:rPr>
          <w:snapToGrid w:val="0"/>
        </w:rPr>
        <w:lastRenderedPageBreak/>
        <w:t xml:space="preserve">The Agreement is a contractual relationship between Council and the Developer whereby the Developer is to pay a Monetary Contribution and is a Planning Agreement under </w:t>
      </w:r>
      <w:r w:rsidR="003867A9">
        <w:rPr>
          <w:snapToGrid w:val="0"/>
        </w:rPr>
        <w:t>section 7.4 and Subdivision 2 of Division 7.1 of Part 7 of the Act</w:t>
      </w:r>
      <w:r w:rsidRPr="00F17F42">
        <w:rPr>
          <w:snapToGrid w:val="0"/>
        </w:rPr>
        <w:t xml:space="preserve">. </w:t>
      </w:r>
    </w:p>
    <w:p w:rsidR="006F6B8E" w:rsidRPr="00F17F42" w:rsidRDefault="006F6B8E" w:rsidP="006F6B8E">
      <w:pPr>
        <w:ind w:left="720"/>
        <w:jc w:val="both"/>
        <w:rPr>
          <w:snapToGrid w:val="0"/>
          <w:highlight w:val="yellow"/>
        </w:rPr>
      </w:pPr>
    </w:p>
    <w:p w:rsidR="006F6B8E" w:rsidRPr="00F17F42" w:rsidRDefault="006F6B8E" w:rsidP="006F6B8E">
      <w:pPr>
        <w:ind w:left="720"/>
        <w:jc w:val="both"/>
        <w:rPr>
          <w:snapToGrid w:val="0"/>
        </w:rPr>
      </w:pPr>
      <w:r w:rsidRPr="00F17F42">
        <w:rPr>
          <w:snapToGrid w:val="0"/>
        </w:rPr>
        <w:t>The Agreement requires the Developer to comply with certain requirements including</w:t>
      </w:r>
      <w:r w:rsidR="00A76337">
        <w:rPr>
          <w:snapToGrid w:val="0"/>
        </w:rPr>
        <w:t xml:space="preserve"> registration of the Agreement </w:t>
      </w:r>
      <w:r w:rsidR="004F5C82">
        <w:rPr>
          <w:snapToGrid w:val="0"/>
        </w:rPr>
        <w:t xml:space="preserve">and </w:t>
      </w:r>
      <w:r w:rsidR="0060624C">
        <w:rPr>
          <w:snapToGrid w:val="0"/>
        </w:rPr>
        <w:t xml:space="preserve">provision of a Bank Guarantee </w:t>
      </w:r>
      <w:r w:rsidR="007A0365">
        <w:rPr>
          <w:snapToGrid w:val="0"/>
        </w:rPr>
        <w:t xml:space="preserve">prior </w:t>
      </w:r>
      <w:r w:rsidR="00620B36">
        <w:rPr>
          <w:snapToGrid w:val="0"/>
        </w:rPr>
        <w:t xml:space="preserve">any </w:t>
      </w:r>
      <w:r w:rsidR="007A0365">
        <w:rPr>
          <w:snapToGrid w:val="0"/>
        </w:rPr>
        <w:t xml:space="preserve">Construction Certificate </w:t>
      </w:r>
      <w:r w:rsidR="00620B36">
        <w:rPr>
          <w:snapToGrid w:val="0"/>
        </w:rPr>
        <w:t xml:space="preserve">issuing for the Development </w:t>
      </w:r>
      <w:r w:rsidR="00AB46B2">
        <w:rPr>
          <w:snapToGrid w:val="0"/>
        </w:rPr>
        <w:t xml:space="preserve">and </w:t>
      </w:r>
      <w:r>
        <w:rPr>
          <w:snapToGrid w:val="0"/>
        </w:rPr>
        <w:t xml:space="preserve">to </w:t>
      </w:r>
      <w:r w:rsidRPr="00F17F42">
        <w:rPr>
          <w:snapToGrid w:val="0"/>
        </w:rPr>
        <w:t xml:space="preserve">pay a </w:t>
      </w:r>
      <w:r>
        <w:rPr>
          <w:snapToGrid w:val="0"/>
        </w:rPr>
        <w:t>m</w:t>
      </w:r>
      <w:r w:rsidRPr="00F17F42">
        <w:rPr>
          <w:snapToGrid w:val="0"/>
        </w:rPr>
        <w:t xml:space="preserve">onetary Contribution to Council </w:t>
      </w:r>
      <w:r>
        <w:rPr>
          <w:snapToGrid w:val="0"/>
        </w:rPr>
        <w:t xml:space="preserve">in the amount of </w:t>
      </w:r>
      <w:r w:rsidRPr="00771AAE">
        <w:rPr>
          <w:snapToGrid w:val="0"/>
        </w:rPr>
        <w:t>$</w:t>
      </w:r>
      <w:r w:rsidR="003867A9">
        <w:rPr>
          <w:snapToGrid w:val="0"/>
        </w:rPr>
        <w:t>583,152</w:t>
      </w:r>
      <w:r w:rsidR="00F47697">
        <w:rPr>
          <w:snapToGrid w:val="0"/>
        </w:rPr>
        <w:t xml:space="preserve"> prior to a</w:t>
      </w:r>
      <w:r w:rsidR="007A0365">
        <w:rPr>
          <w:snapToGrid w:val="0"/>
        </w:rPr>
        <w:t>ny</w:t>
      </w:r>
      <w:r w:rsidR="00F47697">
        <w:rPr>
          <w:snapToGrid w:val="0"/>
        </w:rPr>
        <w:t xml:space="preserve"> </w:t>
      </w:r>
      <w:r w:rsidR="007A0365">
        <w:rPr>
          <w:snapToGrid w:val="0"/>
        </w:rPr>
        <w:t>Occupation</w:t>
      </w:r>
      <w:r w:rsidR="00F47697">
        <w:rPr>
          <w:snapToGrid w:val="0"/>
        </w:rPr>
        <w:t xml:space="preserve"> Certificate </w:t>
      </w:r>
      <w:r w:rsidR="00F54F66">
        <w:rPr>
          <w:snapToGrid w:val="0"/>
        </w:rPr>
        <w:t xml:space="preserve">issuing </w:t>
      </w:r>
      <w:r w:rsidR="00F47697">
        <w:rPr>
          <w:snapToGrid w:val="0"/>
        </w:rPr>
        <w:t>for the Development</w:t>
      </w:r>
      <w:r w:rsidRPr="00F17F42">
        <w:rPr>
          <w:snapToGrid w:val="0"/>
        </w:rPr>
        <w:t xml:space="preserve">. </w:t>
      </w:r>
    </w:p>
    <w:p w:rsidR="006F6B8E" w:rsidRDefault="006F6B8E" w:rsidP="006F6B8E">
      <w:pPr>
        <w:ind w:left="720"/>
        <w:jc w:val="both"/>
        <w:rPr>
          <w:snapToGrid w:val="0"/>
        </w:rPr>
      </w:pPr>
    </w:p>
    <w:p w:rsidR="006F6B8E" w:rsidRDefault="006F6B8E" w:rsidP="006F6B8E">
      <w:pPr>
        <w:ind w:left="720"/>
        <w:jc w:val="both"/>
        <w:rPr>
          <w:snapToGrid w:val="0"/>
        </w:rPr>
      </w:pPr>
      <w:r>
        <w:rPr>
          <w:snapToGrid w:val="0"/>
        </w:rPr>
        <w:t xml:space="preserve">The Agreement does not exclude the application of sections </w:t>
      </w:r>
      <w:r w:rsidR="003867A9">
        <w:rPr>
          <w:snapToGrid w:val="0"/>
        </w:rPr>
        <w:t>7.11</w:t>
      </w:r>
      <w:r>
        <w:rPr>
          <w:snapToGrid w:val="0"/>
        </w:rPr>
        <w:t xml:space="preserve">, </w:t>
      </w:r>
      <w:r w:rsidR="003867A9">
        <w:rPr>
          <w:snapToGrid w:val="0"/>
        </w:rPr>
        <w:t>7.12</w:t>
      </w:r>
      <w:r>
        <w:rPr>
          <w:snapToGrid w:val="0"/>
        </w:rPr>
        <w:t xml:space="preserve"> or </w:t>
      </w:r>
      <w:r w:rsidR="003867A9">
        <w:rPr>
          <w:snapToGrid w:val="0"/>
        </w:rPr>
        <w:t>7.24</w:t>
      </w:r>
      <w:r>
        <w:rPr>
          <w:snapToGrid w:val="0"/>
        </w:rPr>
        <w:t xml:space="preserve"> of the Act to the Development and the Development Contribution is not to be taken into consideration in determining any development contribution under </w:t>
      </w:r>
      <w:r w:rsidR="003867A9">
        <w:rPr>
          <w:snapToGrid w:val="0"/>
        </w:rPr>
        <w:t>s7.11</w:t>
      </w:r>
      <w:r>
        <w:rPr>
          <w:snapToGrid w:val="0"/>
        </w:rPr>
        <w:t xml:space="preserve"> of the Act.</w:t>
      </w:r>
    </w:p>
    <w:p w:rsidR="006F6B8E" w:rsidRDefault="006F6B8E" w:rsidP="006F6B8E">
      <w:pPr>
        <w:ind w:left="720"/>
        <w:jc w:val="both"/>
        <w:rPr>
          <w:snapToGrid w:val="0"/>
        </w:rPr>
      </w:pPr>
    </w:p>
    <w:p w:rsidR="006F6B8E" w:rsidRDefault="006F6B8E" w:rsidP="006F6B8E">
      <w:pPr>
        <w:ind w:left="720"/>
        <w:jc w:val="both"/>
        <w:rPr>
          <w:snapToGrid w:val="0"/>
        </w:rPr>
      </w:pPr>
      <w:r>
        <w:rPr>
          <w:snapToGrid w:val="0"/>
        </w:rPr>
        <w:t xml:space="preserve">The Agreement contains a number of machinery provisions including in relation to dispute resolution and enforcement. </w:t>
      </w:r>
    </w:p>
    <w:p w:rsidR="006F6B8E" w:rsidRDefault="006F6B8E" w:rsidP="006F6B8E">
      <w:pPr>
        <w:ind w:left="720"/>
        <w:jc w:val="both"/>
        <w:rPr>
          <w:snapToGrid w:val="0"/>
        </w:rPr>
      </w:pPr>
    </w:p>
    <w:p w:rsidR="003C02BD" w:rsidRPr="00F84FA7" w:rsidRDefault="003C02BD" w:rsidP="00BD1549">
      <w:pPr>
        <w:numPr>
          <w:ilvl w:val="0"/>
          <w:numId w:val="19"/>
        </w:numPr>
        <w:ind w:left="709" w:hanging="709"/>
        <w:jc w:val="both"/>
        <w:rPr>
          <w:b/>
          <w:snapToGrid w:val="0"/>
        </w:rPr>
      </w:pPr>
      <w:r w:rsidRPr="00F84FA7">
        <w:rPr>
          <w:b/>
          <w:snapToGrid w:val="0"/>
        </w:rPr>
        <w:t>Assess</w:t>
      </w:r>
      <w:r w:rsidR="00052EDC" w:rsidRPr="00F84FA7">
        <w:rPr>
          <w:b/>
          <w:snapToGrid w:val="0"/>
        </w:rPr>
        <w:t>m</w:t>
      </w:r>
      <w:r w:rsidRPr="00F84FA7">
        <w:rPr>
          <w:b/>
          <w:snapToGrid w:val="0"/>
        </w:rPr>
        <w:t>e</w:t>
      </w:r>
      <w:r w:rsidR="00052EDC" w:rsidRPr="00F84FA7">
        <w:rPr>
          <w:b/>
          <w:snapToGrid w:val="0"/>
        </w:rPr>
        <w:t>n</w:t>
      </w:r>
      <w:r w:rsidRPr="00F84FA7">
        <w:rPr>
          <w:b/>
          <w:snapToGrid w:val="0"/>
        </w:rPr>
        <w:t>t of the</w:t>
      </w:r>
      <w:r w:rsidR="00052EDC" w:rsidRPr="00F84FA7">
        <w:rPr>
          <w:b/>
          <w:snapToGrid w:val="0"/>
        </w:rPr>
        <w:t xml:space="preserve"> merits of the Draft Planning Ag</w:t>
      </w:r>
      <w:r w:rsidRPr="00F84FA7">
        <w:rPr>
          <w:b/>
          <w:snapToGrid w:val="0"/>
        </w:rPr>
        <w:t>r</w:t>
      </w:r>
      <w:r w:rsidR="00052EDC" w:rsidRPr="00F84FA7">
        <w:rPr>
          <w:b/>
          <w:snapToGrid w:val="0"/>
        </w:rPr>
        <w:t>e</w:t>
      </w:r>
      <w:r w:rsidRPr="00F84FA7">
        <w:rPr>
          <w:b/>
          <w:snapToGrid w:val="0"/>
        </w:rPr>
        <w:t>ement</w:t>
      </w:r>
      <w:r w:rsidR="00052EDC" w:rsidRPr="00F84FA7">
        <w:rPr>
          <w:b/>
          <w:snapToGrid w:val="0"/>
        </w:rPr>
        <w:t>:</w:t>
      </w:r>
    </w:p>
    <w:p w:rsidR="00052EDC" w:rsidRDefault="00052EDC" w:rsidP="00052EDC">
      <w:pPr>
        <w:jc w:val="both"/>
        <w:rPr>
          <w:snapToGrid w:val="0"/>
        </w:rPr>
      </w:pPr>
    </w:p>
    <w:p w:rsidR="00052EDC" w:rsidRPr="006F6B8E" w:rsidRDefault="00052EDC" w:rsidP="00052EDC">
      <w:pPr>
        <w:ind w:left="720"/>
        <w:jc w:val="both"/>
        <w:rPr>
          <w:snapToGrid w:val="0"/>
          <w:u w:val="single"/>
        </w:rPr>
      </w:pPr>
      <w:r w:rsidRPr="006F6B8E">
        <w:rPr>
          <w:snapToGrid w:val="0"/>
          <w:u w:val="single"/>
        </w:rPr>
        <w:t>The Planning Purposes Served by the Draft Planning Agreement</w:t>
      </w:r>
    </w:p>
    <w:p w:rsidR="00052EDC" w:rsidRDefault="00052EDC" w:rsidP="00052EDC">
      <w:pPr>
        <w:jc w:val="both"/>
        <w:rPr>
          <w:snapToGrid w:val="0"/>
          <w:u w:val="single"/>
        </w:rPr>
      </w:pPr>
    </w:p>
    <w:p w:rsidR="006F6B8E" w:rsidRPr="00F17F42" w:rsidRDefault="0026025D" w:rsidP="006F6B8E">
      <w:pPr>
        <w:ind w:left="720"/>
        <w:jc w:val="both"/>
        <w:rPr>
          <w:snapToGrid w:val="0"/>
        </w:rPr>
      </w:pPr>
      <w:r>
        <w:rPr>
          <w:snapToGrid w:val="0"/>
        </w:rPr>
        <w:t>In accordance with s 7.4</w:t>
      </w:r>
      <w:r w:rsidR="006F6B8E" w:rsidRPr="00F17F42">
        <w:rPr>
          <w:snapToGrid w:val="0"/>
        </w:rPr>
        <w:t xml:space="preserve">(2) of the </w:t>
      </w:r>
      <w:r w:rsidR="006F6B8E" w:rsidRPr="0070171C">
        <w:rPr>
          <w:i/>
          <w:snapToGrid w:val="0"/>
        </w:rPr>
        <w:t>Environmental Planning and Assessment Act 1979</w:t>
      </w:r>
      <w:r w:rsidR="006F6B8E" w:rsidRPr="00F17F42">
        <w:rPr>
          <w:snapToGrid w:val="0"/>
        </w:rPr>
        <w:t>, the Planning Agreement facilitates the following public purposes:</w:t>
      </w:r>
    </w:p>
    <w:p w:rsidR="006F6B8E" w:rsidRPr="00F17F42" w:rsidRDefault="006F6B8E" w:rsidP="006F6B8E">
      <w:pPr>
        <w:ind w:left="720"/>
        <w:jc w:val="both"/>
        <w:rPr>
          <w:snapToGrid w:val="0"/>
        </w:rPr>
      </w:pPr>
    </w:p>
    <w:p w:rsidR="0026025D" w:rsidRDefault="0026025D" w:rsidP="0026025D">
      <w:pPr>
        <w:numPr>
          <w:ilvl w:val="0"/>
          <w:numId w:val="23"/>
        </w:numPr>
        <w:jc w:val="both"/>
        <w:rPr>
          <w:snapToGrid w:val="0"/>
        </w:rPr>
      </w:pPr>
      <w:r w:rsidRPr="00F17F42">
        <w:rPr>
          <w:snapToGrid w:val="0"/>
        </w:rPr>
        <w:t>The provision of (or recoupment of the cost of providing) public amenities</w:t>
      </w:r>
      <w:r w:rsidR="00F85162">
        <w:rPr>
          <w:snapToGrid w:val="0"/>
        </w:rPr>
        <w:t xml:space="preserve"> or public services</w:t>
      </w:r>
      <w:r w:rsidRPr="00F17F42">
        <w:rPr>
          <w:snapToGrid w:val="0"/>
        </w:rPr>
        <w:t>;</w:t>
      </w:r>
    </w:p>
    <w:p w:rsidR="0026025D" w:rsidRDefault="0026025D" w:rsidP="0026025D">
      <w:pPr>
        <w:ind w:left="1440"/>
        <w:jc w:val="both"/>
        <w:rPr>
          <w:snapToGrid w:val="0"/>
        </w:rPr>
      </w:pPr>
    </w:p>
    <w:p w:rsidR="00F85162" w:rsidRPr="001229AA" w:rsidRDefault="00F85162" w:rsidP="00F85162">
      <w:pPr>
        <w:numPr>
          <w:ilvl w:val="0"/>
          <w:numId w:val="23"/>
        </w:numPr>
        <w:jc w:val="both"/>
        <w:rPr>
          <w:snapToGrid w:val="0"/>
        </w:rPr>
      </w:pPr>
      <w:r>
        <w:t>T</w:t>
      </w:r>
      <w:r w:rsidRPr="00BD4621">
        <w:t>he provision of (or the recoupment of the cost of providing) affordable housing;</w:t>
      </w:r>
      <w:bookmarkStart w:id="0" w:name="_GoBack"/>
      <w:bookmarkEnd w:id="0"/>
    </w:p>
    <w:p w:rsidR="00F85162" w:rsidRDefault="00F85162" w:rsidP="00F85162">
      <w:pPr>
        <w:ind w:left="1440"/>
        <w:jc w:val="both"/>
        <w:rPr>
          <w:snapToGrid w:val="0"/>
        </w:rPr>
      </w:pPr>
    </w:p>
    <w:p w:rsidR="0026025D" w:rsidRDefault="0026025D" w:rsidP="0026025D">
      <w:pPr>
        <w:numPr>
          <w:ilvl w:val="0"/>
          <w:numId w:val="23"/>
        </w:numPr>
        <w:jc w:val="both"/>
        <w:rPr>
          <w:snapToGrid w:val="0"/>
        </w:rPr>
      </w:pPr>
      <w:r>
        <w:rPr>
          <w:snapToGrid w:val="0"/>
        </w:rPr>
        <w:t>The f</w:t>
      </w:r>
      <w:r w:rsidRPr="001229AA">
        <w:rPr>
          <w:snapToGrid w:val="0"/>
        </w:rPr>
        <w:t>unding of recurrent expenditure relating to the provision of public amenities</w:t>
      </w:r>
      <w:r>
        <w:rPr>
          <w:snapToGrid w:val="0"/>
        </w:rPr>
        <w:t xml:space="preserve"> </w:t>
      </w:r>
      <w:r w:rsidRPr="001229AA">
        <w:rPr>
          <w:snapToGrid w:val="0"/>
        </w:rPr>
        <w:t xml:space="preserve">or </w:t>
      </w:r>
      <w:r>
        <w:rPr>
          <w:snapToGrid w:val="0"/>
        </w:rPr>
        <w:t>public services, affordable housing or transport or other infrastructure</w:t>
      </w:r>
      <w:r w:rsidRPr="001229AA">
        <w:rPr>
          <w:snapToGrid w:val="0"/>
        </w:rPr>
        <w:t>;</w:t>
      </w:r>
    </w:p>
    <w:p w:rsidR="0026025D" w:rsidRPr="0050025A" w:rsidRDefault="0026025D" w:rsidP="00F85162">
      <w:pPr>
        <w:jc w:val="both"/>
        <w:rPr>
          <w:snapToGrid w:val="0"/>
        </w:rPr>
      </w:pPr>
    </w:p>
    <w:p w:rsidR="0026025D" w:rsidRPr="00F85162" w:rsidRDefault="0026025D" w:rsidP="0026025D">
      <w:pPr>
        <w:numPr>
          <w:ilvl w:val="0"/>
          <w:numId w:val="20"/>
        </w:numPr>
        <w:jc w:val="both"/>
        <w:rPr>
          <w:snapToGrid w:val="0"/>
        </w:rPr>
      </w:pPr>
      <w:r w:rsidRPr="00F17F42">
        <w:t xml:space="preserve">The monitoring of the planning impacts of </w:t>
      </w:r>
      <w:hyperlink r:id="rId8" w:anchor="development" w:history="1">
        <w:r w:rsidRPr="00F17F42">
          <w:rPr>
            <w:rStyle w:val="Hyperlink"/>
            <w:color w:val="auto"/>
            <w:u w:val="none"/>
          </w:rPr>
          <w:t>development</w:t>
        </w:r>
      </w:hyperlink>
      <w:r w:rsidR="00F85162">
        <w:t>; and</w:t>
      </w:r>
    </w:p>
    <w:p w:rsidR="00F85162" w:rsidRPr="00F85162" w:rsidRDefault="00F85162" w:rsidP="00F85162">
      <w:pPr>
        <w:ind w:left="1440"/>
        <w:jc w:val="both"/>
        <w:rPr>
          <w:snapToGrid w:val="0"/>
        </w:rPr>
      </w:pPr>
    </w:p>
    <w:p w:rsidR="00F85162" w:rsidRPr="00F17F42" w:rsidRDefault="00F85162" w:rsidP="0026025D">
      <w:pPr>
        <w:numPr>
          <w:ilvl w:val="0"/>
          <w:numId w:val="20"/>
        </w:numPr>
        <w:jc w:val="both"/>
        <w:rPr>
          <w:snapToGrid w:val="0"/>
        </w:rPr>
      </w:pPr>
      <w:r>
        <w:t>The conservation or enhancement of the natural environment.</w:t>
      </w:r>
    </w:p>
    <w:p w:rsidR="006F6B8E" w:rsidRPr="00BD1549" w:rsidRDefault="006F6B8E" w:rsidP="006F6B8E">
      <w:pPr>
        <w:jc w:val="both"/>
        <w:rPr>
          <w:snapToGrid w:val="0"/>
        </w:rPr>
      </w:pPr>
    </w:p>
    <w:p w:rsidR="006F6B8E" w:rsidRPr="00F17F42" w:rsidRDefault="006F6B8E" w:rsidP="006F6B8E">
      <w:pPr>
        <w:ind w:firstLine="720"/>
        <w:jc w:val="both"/>
        <w:rPr>
          <w:b/>
          <w:snapToGrid w:val="0"/>
        </w:rPr>
      </w:pPr>
      <w:r w:rsidRPr="00F17F42">
        <w:rPr>
          <w:snapToGrid w:val="0"/>
        </w:rPr>
        <w:t xml:space="preserve">The Planning Agreement provides a reasonable means of achieving the public </w:t>
      </w:r>
      <w:r w:rsidRPr="00F17F42">
        <w:rPr>
          <w:snapToGrid w:val="0"/>
        </w:rPr>
        <w:tab/>
        <w:t>purposes set out above</w:t>
      </w:r>
      <w:r>
        <w:rPr>
          <w:snapToGrid w:val="0"/>
        </w:rPr>
        <w:t>.</w:t>
      </w:r>
    </w:p>
    <w:p w:rsidR="006F6B8E" w:rsidRPr="006F6B8E" w:rsidRDefault="006F6B8E" w:rsidP="00052EDC">
      <w:pPr>
        <w:jc w:val="both"/>
        <w:rPr>
          <w:snapToGrid w:val="0"/>
          <w:u w:val="single"/>
        </w:rPr>
      </w:pPr>
    </w:p>
    <w:p w:rsidR="00052EDC" w:rsidRPr="00052EDC" w:rsidRDefault="00052EDC" w:rsidP="00052EDC">
      <w:pPr>
        <w:ind w:left="720"/>
        <w:jc w:val="both"/>
        <w:rPr>
          <w:snapToGrid w:val="0"/>
          <w:u w:val="single"/>
        </w:rPr>
      </w:pPr>
      <w:r w:rsidRPr="00052EDC">
        <w:rPr>
          <w:snapToGrid w:val="0"/>
          <w:u w:val="single"/>
        </w:rPr>
        <w:t>How the Draft Planning Agreement Promotes the Public Interest</w:t>
      </w:r>
    </w:p>
    <w:p w:rsidR="00052EDC" w:rsidRDefault="00052EDC" w:rsidP="00052EDC">
      <w:pPr>
        <w:ind w:left="720"/>
        <w:jc w:val="both"/>
        <w:rPr>
          <w:snapToGrid w:val="0"/>
        </w:rPr>
      </w:pPr>
    </w:p>
    <w:p w:rsidR="0026025D" w:rsidRPr="00F17F42" w:rsidRDefault="0026025D" w:rsidP="0026025D">
      <w:pPr>
        <w:numPr>
          <w:ilvl w:val="0"/>
          <w:numId w:val="21"/>
        </w:numPr>
        <w:jc w:val="both"/>
        <w:rPr>
          <w:snapToGrid w:val="0"/>
        </w:rPr>
      </w:pPr>
      <w:r>
        <w:rPr>
          <w:snapToGrid w:val="0"/>
        </w:rPr>
        <w:t>The p</w:t>
      </w:r>
      <w:r w:rsidRPr="00F17F42">
        <w:rPr>
          <w:snapToGrid w:val="0"/>
        </w:rPr>
        <w:t xml:space="preserve">ublic </w:t>
      </w:r>
      <w:r>
        <w:rPr>
          <w:snapToGrid w:val="0"/>
        </w:rPr>
        <w:t>i</w:t>
      </w:r>
      <w:r w:rsidRPr="00F17F42">
        <w:rPr>
          <w:snapToGrid w:val="0"/>
        </w:rPr>
        <w:t xml:space="preserve">nterest is promoted by </w:t>
      </w:r>
      <w:r>
        <w:rPr>
          <w:snapToGrid w:val="0"/>
        </w:rPr>
        <w:t xml:space="preserve">the provision to </w:t>
      </w:r>
      <w:r w:rsidRPr="00F17F42">
        <w:rPr>
          <w:snapToGrid w:val="0"/>
        </w:rPr>
        <w:t xml:space="preserve">Council </w:t>
      </w:r>
      <w:r>
        <w:rPr>
          <w:snapToGrid w:val="0"/>
        </w:rPr>
        <w:t>of</w:t>
      </w:r>
      <w:r w:rsidRPr="00F17F42">
        <w:rPr>
          <w:snapToGrid w:val="0"/>
        </w:rPr>
        <w:t xml:space="preserve"> funds which it is able to apply towards upgrading and improving infrastructure and facilities </w:t>
      </w:r>
      <w:r>
        <w:rPr>
          <w:snapToGrid w:val="0"/>
        </w:rPr>
        <w:t xml:space="preserve">nearby the Development and in the broader community in particular the upgrading of </w:t>
      </w:r>
      <w:r w:rsidR="00F85162">
        <w:rPr>
          <w:snapToGrid w:val="0"/>
        </w:rPr>
        <w:t>improvement and regeneration of Waverley Park</w:t>
      </w:r>
      <w:r w:rsidRPr="00F17F42">
        <w:rPr>
          <w:snapToGrid w:val="0"/>
        </w:rPr>
        <w:t>;</w:t>
      </w:r>
    </w:p>
    <w:p w:rsidR="0026025D" w:rsidRPr="00F17F42" w:rsidRDefault="0026025D" w:rsidP="0026025D">
      <w:pPr>
        <w:jc w:val="both"/>
        <w:rPr>
          <w:snapToGrid w:val="0"/>
        </w:rPr>
      </w:pPr>
    </w:p>
    <w:p w:rsidR="0026025D" w:rsidRPr="00F17F42" w:rsidRDefault="0026025D" w:rsidP="0026025D">
      <w:pPr>
        <w:numPr>
          <w:ilvl w:val="0"/>
          <w:numId w:val="21"/>
        </w:numPr>
        <w:jc w:val="both"/>
        <w:rPr>
          <w:snapToGrid w:val="0"/>
        </w:rPr>
      </w:pPr>
      <w:r w:rsidRPr="00F17F42">
        <w:rPr>
          <w:snapToGrid w:val="0"/>
        </w:rPr>
        <w:t xml:space="preserve">The upgrading and improvement of facilities </w:t>
      </w:r>
      <w:r>
        <w:rPr>
          <w:snapToGrid w:val="0"/>
        </w:rPr>
        <w:t xml:space="preserve">in the areas nearby the Development </w:t>
      </w:r>
      <w:r w:rsidRPr="00F17F42">
        <w:rPr>
          <w:snapToGrid w:val="0"/>
        </w:rPr>
        <w:t>will encourage business within and</w:t>
      </w:r>
      <w:r>
        <w:rPr>
          <w:snapToGrid w:val="0"/>
        </w:rPr>
        <w:t xml:space="preserve"> </w:t>
      </w:r>
      <w:r w:rsidRPr="00F17F42">
        <w:rPr>
          <w:snapToGrid w:val="0"/>
        </w:rPr>
        <w:t xml:space="preserve">development of the </w:t>
      </w:r>
      <w:r>
        <w:rPr>
          <w:snapToGrid w:val="0"/>
        </w:rPr>
        <w:t>p</w:t>
      </w:r>
      <w:r w:rsidRPr="00F17F42">
        <w:rPr>
          <w:snapToGrid w:val="0"/>
        </w:rPr>
        <w:t>recinct as an active vibrant community</w:t>
      </w:r>
      <w:r>
        <w:rPr>
          <w:snapToGrid w:val="0"/>
        </w:rPr>
        <w:t xml:space="preserve"> with recreational facilities</w:t>
      </w:r>
      <w:r w:rsidRPr="00F17F42">
        <w:rPr>
          <w:snapToGrid w:val="0"/>
        </w:rPr>
        <w:t>;</w:t>
      </w:r>
    </w:p>
    <w:p w:rsidR="0026025D" w:rsidRPr="00F17F42" w:rsidRDefault="0026025D" w:rsidP="0026025D">
      <w:pPr>
        <w:jc w:val="both"/>
        <w:rPr>
          <w:snapToGrid w:val="0"/>
        </w:rPr>
      </w:pPr>
    </w:p>
    <w:p w:rsidR="0026025D" w:rsidRDefault="0026025D" w:rsidP="0026025D">
      <w:pPr>
        <w:numPr>
          <w:ilvl w:val="0"/>
          <w:numId w:val="21"/>
        </w:numPr>
        <w:jc w:val="both"/>
        <w:rPr>
          <w:snapToGrid w:val="0"/>
        </w:rPr>
      </w:pPr>
      <w:r w:rsidRPr="00F17F42">
        <w:rPr>
          <w:snapToGrid w:val="0"/>
        </w:rPr>
        <w:t xml:space="preserve">The contributions made are intended to positively affect the economic and social wellbeing of the </w:t>
      </w:r>
      <w:r>
        <w:rPr>
          <w:snapToGrid w:val="0"/>
        </w:rPr>
        <w:t>p</w:t>
      </w:r>
      <w:r w:rsidRPr="00F17F42">
        <w:rPr>
          <w:snapToGrid w:val="0"/>
        </w:rPr>
        <w:t xml:space="preserve">recinct </w:t>
      </w:r>
      <w:r>
        <w:rPr>
          <w:snapToGrid w:val="0"/>
        </w:rPr>
        <w:t xml:space="preserve">incorporating the Development </w:t>
      </w:r>
      <w:r w:rsidRPr="00F17F42">
        <w:rPr>
          <w:snapToGrid w:val="0"/>
        </w:rPr>
        <w:t>and wider community.  Both residents and visitors will benefit from the contributions under the Planning Agreement;</w:t>
      </w:r>
    </w:p>
    <w:p w:rsidR="0026025D" w:rsidRDefault="0026025D" w:rsidP="0026025D">
      <w:pPr>
        <w:pStyle w:val="ListParagraph"/>
        <w:rPr>
          <w:snapToGrid w:val="0"/>
        </w:rPr>
      </w:pPr>
    </w:p>
    <w:p w:rsidR="0026025D" w:rsidRDefault="0026025D" w:rsidP="0026025D">
      <w:pPr>
        <w:numPr>
          <w:ilvl w:val="0"/>
          <w:numId w:val="21"/>
        </w:numPr>
        <w:jc w:val="both"/>
        <w:rPr>
          <w:snapToGrid w:val="0"/>
        </w:rPr>
      </w:pPr>
      <w:r>
        <w:rPr>
          <w:snapToGrid w:val="0"/>
        </w:rPr>
        <w:lastRenderedPageBreak/>
        <w:t>Public Interest is promoted by virtue of the planning agreement because it increases the provision of affordable housing;</w:t>
      </w:r>
    </w:p>
    <w:p w:rsidR="0026025D" w:rsidRDefault="0026025D" w:rsidP="0026025D">
      <w:pPr>
        <w:jc w:val="both"/>
        <w:rPr>
          <w:snapToGrid w:val="0"/>
        </w:rPr>
      </w:pPr>
    </w:p>
    <w:p w:rsidR="0026025D" w:rsidRDefault="0026025D" w:rsidP="0026025D">
      <w:pPr>
        <w:numPr>
          <w:ilvl w:val="0"/>
          <w:numId w:val="21"/>
        </w:numPr>
        <w:jc w:val="both"/>
        <w:rPr>
          <w:snapToGrid w:val="0"/>
        </w:rPr>
      </w:pPr>
      <w:r>
        <w:rPr>
          <w:snapToGrid w:val="0"/>
        </w:rPr>
        <w:t>Provides housing for low income and disadvantaged people within the community;</w:t>
      </w:r>
    </w:p>
    <w:p w:rsidR="0026025D" w:rsidRPr="00F84FA7" w:rsidRDefault="0026025D" w:rsidP="0026025D">
      <w:pPr>
        <w:jc w:val="both"/>
        <w:rPr>
          <w:snapToGrid w:val="0"/>
        </w:rPr>
      </w:pPr>
    </w:p>
    <w:p w:rsidR="0026025D" w:rsidRDefault="0026025D" w:rsidP="0026025D">
      <w:pPr>
        <w:numPr>
          <w:ilvl w:val="0"/>
          <w:numId w:val="21"/>
        </w:numPr>
        <w:jc w:val="both"/>
        <w:rPr>
          <w:snapToGrid w:val="0"/>
        </w:rPr>
      </w:pPr>
      <w:r>
        <w:rPr>
          <w:snapToGrid w:val="0"/>
        </w:rPr>
        <w:t>Facilitates a diverse social mix;</w:t>
      </w:r>
    </w:p>
    <w:p w:rsidR="0026025D" w:rsidRDefault="0026025D" w:rsidP="0026025D">
      <w:pPr>
        <w:pStyle w:val="ListParagraph"/>
        <w:rPr>
          <w:snapToGrid w:val="0"/>
        </w:rPr>
      </w:pPr>
    </w:p>
    <w:p w:rsidR="0026025D" w:rsidRDefault="0026025D" w:rsidP="0026025D">
      <w:pPr>
        <w:numPr>
          <w:ilvl w:val="0"/>
          <w:numId w:val="21"/>
        </w:numPr>
        <w:jc w:val="both"/>
        <w:rPr>
          <w:snapToGrid w:val="0"/>
        </w:rPr>
      </w:pPr>
      <w:r>
        <w:rPr>
          <w:snapToGrid w:val="0"/>
        </w:rPr>
        <w:t>Enables diverse social and economic groups to have similar opportunities for accommodation in the area where the Development is situated.</w:t>
      </w:r>
    </w:p>
    <w:p w:rsidR="0026025D" w:rsidRPr="00F17F42" w:rsidRDefault="0026025D" w:rsidP="0026025D">
      <w:pPr>
        <w:ind w:left="1440"/>
        <w:jc w:val="both"/>
        <w:rPr>
          <w:snapToGrid w:val="0"/>
        </w:rPr>
      </w:pPr>
    </w:p>
    <w:p w:rsidR="00052EDC" w:rsidRDefault="00052EDC" w:rsidP="00052EDC">
      <w:pPr>
        <w:jc w:val="both"/>
        <w:rPr>
          <w:snapToGrid w:val="0"/>
        </w:rPr>
      </w:pPr>
    </w:p>
    <w:p w:rsidR="003C02BD" w:rsidRDefault="00052EDC" w:rsidP="00052EDC">
      <w:pPr>
        <w:ind w:left="720"/>
        <w:jc w:val="both"/>
        <w:rPr>
          <w:snapToGrid w:val="0"/>
        </w:rPr>
      </w:pPr>
      <w:r w:rsidRPr="00052EDC">
        <w:rPr>
          <w:snapToGrid w:val="0"/>
          <w:u w:val="single"/>
        </w:rPr>
        <w:t>How the Draft Planning Agreement Promotes the Objects of the Environmental Planning and Assessment Act, 1979 (EP&amp;A Act)</w:t>
      </w:r>
    </w:p>
    <w:p w:rsidR="00052EDC" w:rsidRDefault="00052EDC" w:rsidP="00052EDC">
      <w:pPr>
        <w:ind w:left="720"/>
        <w:jc w:val="both"/>
        <w:rPr>
          <w:snapToGrid w:val="0"/>
        </w:rPr>
      </w:pPr>
    </w:p>
    <w:p w:rsidR="006F6B8E" w:rsidRPr="00F17F42" w:rsidRDefault="00052EDC" w:rsidP="006F6B8E">
      <w:pPr>
        <w:ind w:left="720" w:hanging="720"/>
        <w:jc w:val="both"/>
        <w:rPr>
          <w:snapToGrid w:val="0"/>
        </w:rPr>
      </w:pPr>
      <w:r>
        <w:rPr>
          <w:snapToGrid w:val="0"/>
        </w:rPr>
        <w:tab/>
      </w:r>
      <w:r w:rsidR="006F6B8E" w:rsidRPr="00F17F42">
        <w:rPr>
          <w:snapToGrid w:val="0"/>
        </w:rPr>
        <w:t>The provision of the monetary contribution required under the Planning Agreement will promote the objects of the Act, in particular:</w:t>
      </w:r>
    </w:p>
    <w:p w:rsidR="006F6B8E" w:rsidRPr="00F17F42" w:rsidRDefault="006F6B8E" w:rsidP="006F6B8E">
      <w:pPr>
        <w:ind w:left="720" w:hanging="720"/>
        <w:jc w:val="both"/>
        <w:rPr>
          <w:snapToGrid w:val="0"/>
        </w:rPr>
      </w:pPr>
    </w:p>
    <w:p w:rsidR="00F85162" w:rsidRDefault="00AA682A" w:rsidP="00AA682A">
      <w:pPr>
        <w:pStyle w:val="ListParagraph"/>
        <w:numPr>
          <w:ilvl w:val="0"/>
          <w:numId w:val="27"/>
        </w:numPr>
        <w:shd w:val="clear" w:color="auto" w:fill="FFFFFF"/>
        <w:ind w:left="1440"/>
        <w:rPr>
          <w:rFonts w:ascii="Helvetica" w:hAnsi="Helvetica" w:cs="Helvetica"/>
        </w:rPr>
      </w:pPr>
      <w:r>
        <w:rPr>
          <w:rFonts w:ascii="Helvetica" w:hAnsi="Helvetica" w:cs="Helvetica"/>
        </w:rPr>
        <w:t>1.3(a) “</w:t>
      </w:r>
      <w:r w:rsidR="00F85162" w:rsidRPr="00F85162">
        <w:rPr>
          <w:rFonts w:ascii="Helvetica" w:hAnsi="Helvetica" w:cs="Helvetica"/>
        </w:rPr>
        <w:t>to promote the social and economic welfare of the community and a better environment by the proper management, development and conservation of the Stat</w:t>
      </w:r>
      <w:r>
        <w:rPr>
          <w:rFonts w:ascii="Helvetica" w:hAnsi="Helvetica" w:cs="Helvetica"/>
        </w:rPr>
        <w:t>e's natural and other resources”;</w:t>
      </w:r>
    </w:p>
    <w:p w:rsidR="00AA682A" w:rsidRPr="00F85162" w:rsidRDefault="00AA682A" w:rsidP="00AA682A">
      <w:pPr>
        <w:pStyle w:val="ListParagraph"/>
        <w:shd w:val="clear" w:color="auto" w:fill="FFFFFF"/>
        <w:ind w:left="1440"/>
        <w:rPr>
          <w:rFonts w:ascii="Helvetica" w:hAnsi="Helvetica" w:cs="Helvetica"/>
        </w:rPr>
      </w:pPr>
    </w:p>
    <w:p w:rsidR="00F85162" w:rsidRDefault="00AA682A" w:rsidP="00AA682A">
      <w:pPr>
        <w:pStyle w:val="ListParagraph"/>
        <w:numPr>
          <w:ilvl w:val="0"/>
          <w:numId w:val="27"/>
        </w:numPr>
        <w:shd w:val="clear" w:color="auto" w:fill="FFFFFF"/>
        <w:ind w:left="1440"/>
        <w:rPr>
          <w:rFonts w:ascii="Helvetica" w:hAnsi="Helvetica" w:cs="Helvetica"/>
        </w:rPr>
      </w:pPr>
      <w:r>
        <w:rPr>
          <w:rFonts w:ascii="Helvetica" w:hAnsi="Helvetica" w:cs="Helvetica"/>
        </w:rPr>
        <w:t>1.3(b) “</w:t>
      </w:r>
      <w:r w:rsidR="00F85162" w:rsidRPr="00F85162">
        <w:rPr>
          <w:rFonts w:ascii="Helvetica" w:hAnsi="Helvetica" w:cs="Helvetica"/>
        </w:rPr>
        <w:t>to facilitate ecologically sustainable development by integrating relevant economic, environmental and social considerations in decision-making about environmental</w:t>
      </w:r>
      <w:r>
        <w:rPr>
          <w:rFonts w:ascii="Helvetica" w:hAnsi="Helvetica" w:cs="Helvetica"/>
        </w:rPr>
        <w:t> planning and assessment”;</w:t>
      </w:r>
    </w:p>
    <w:p w:rsidR="00AA682A" w:rsidRPr="00AA682A" w:rsidRDefault="00AA682A" w:rsidP="00AA682A">
      <w:pPr>
        <w:shd w:val="clear" w:color="auto" w:fill="FFFFFF"/>
        <w:ind w:left="720"/>
        <w:rPr>
          <w:rFonts w:ascii="Helvetica" w:hAnsi="Helvetica" w:cs="Helvetica"/>
        </w:rPr>
      </w:pPr>
    </w:p>
    <w:p w:rsidR="00F85162" w:rsidRDefault="00AA682A" w:rsidP="00AA682A">
      <w:pPr>
        <w:pStyle w:val="ListParagraph"/>
        <w:numPr>
          <w:ilvl w:val="0"/>
          <w:numId w:val="27"/>
        </w:numPr>
        <w:shd w:val="clear" w:color="auto" w:fill="FFFFFF"/>
        <w:ind w:left="1440"/>
        <w:rPr>
          <w:rFonts w:ascii="Helvetica" w:hAnsi="Helvetica" w:cs="Helvetica"/>
        </w:rPr>
      </w:pPr>
      <w:r>
        <w:rPr>
          <w:rFonts w:ascii="Helvetica" w:hAnsi="Helvetica" w:cs="Helvetica"/>
        </w:rPr>
        <w:t>1.3(c) “</w:t>
      </w:r>
      <w:r w:rsidR="00F85162" w:rsidRPr="00F85162">
        <w:rPr>
          <w:rFonts w:ascii="Helvetica" w:hAnsi="Helvetica" w:cs="Helvetica"/>
        </w:rPr>
        <w:t>to promote the orderly and economic use and development of land</w:t>
      </w:r>
      <w:r>
        <w:rPr>
          <w:rFonts w:ascii="Helvetica" w:hAnsi="Helvetica" w:cs="Helvetica"/>
        </w:rPr>
        <w:t>”;</w:t>
      </w:r>
    </w:p>
    <w:p w:rsidR="00AA682A" w:rsidRPr="00AA682A" w:rsidRDefault="00AA682A" w:rsidP="00AA682A">
      <w:pPr>
        <w:shd w:val="clear" w:color="auto" w:fill="FFFFFF"/>
        <w:ind w:left="720"/>
        <w:rPr>
          <w:rFonts w:ascii="Helvetica" w:hAnsi="Helvetica" w:cs="Helvetica"/>
        </w:rPr>
      </w:pPr>
    </w:p>
    <w:p w:rsidR="00F85162" w:rsidRDefault="00AA682A" w:rsidP="00AA682A">
      <w:pPr>
        <w:pStyle w:val="ListParagraph"/>
        <w:numPr>
          <w:ilvl w:val="0"/>
          <w:numId w:val="27"/>
        </w:numPr>
        <w:shd w:val="clear" w:color="auto" w:fill="FFFFFF"/>
        <w:ind w:left="1440"/>
        <w:rPr>
          <w:rFonts w:ascii="Helvetica" w:hAnsi="Helvetica" w:cs="Helvetica"/>
        </w:rPr>
      </w:pPr>
      <w:r>
        <w:rPr>
          <w:rFonts w:ascii="Helvetica" w:hAnsi="Helvetica" w:cs="Helvetica"/>
        </w:rPr>
        <w:t>1.3(d) “</w:t>
      </w:r>
      <w:r w:rsidR="00F85162" w:rsidRPr="00F85162">
        <w:rPr>
          <w:rFonts w:ascii="Helvetica" w:hAnsi="Helvetica" w:cs="Helvetica"/>
        </w:rPr>
        <w:t>to promote the delivery and maintenance of affordable housing</w:t>
      </w:r>
      <w:r>
        <w:rPr>
          <w:rFonts w:ascii="Helvetica" w:hAnsi="Helvetica" w:cs="Helvetica"/>
        </w:rPr>
        <w:t>”; and</w:t>
      </w:r>
    </w:p>
    <w:p w:rsidR="00AA682A" w:rsidRPr="00AA682A" w:rsidRDefault="00AA682A" w:rsidP="00AA682A">
      <w:pPr>
        <w:shd w:val="clear" w:color="auto" w:fill="FFFFFF"/>
        <w:ind w:left="720"/>
        <w:rPr>
          <w:rFonts w:ascii="Helvetica" w:hAnsi="Helvetica" w:cs="Helvetica"/>
        </w:rPr>
      </w:pPr>
    </w:p>
    <w:p w:rsidR="00F85162" w:rsidRPr="00F85162" w:rsidRDefault="00AA682A" w:rsidP="00AA682A">
      <w:pPr>
        <w:pStyle w:val="ListParagraph"/>
        <w:numPr>
          <w:ilvl w:val="0"/>
          <w:numId w:val="27"/>
        </w:numPr>
        <w:shd w:val="clear" w:color="auto" w:fill="FFFFFF"/>
        <w:ind w:left="1440"/>
        <w:rPr>
          <w:rFonts w:ascii="Helvetica" w:hAnsi="Helvetica" w:cs="Helvetica"/>
        </w:rPr>
      </w:pPr>
      <w:r>
        <w:rPr>
          <w:rFonts w:ascii="Helvetica" w:hAnsi="Helvetica" w:cs="Helvetica"/>
          <w:shd w:val="clear" w:color="auto" w:fill="FFFFFF"/>
        </w:rPr>
        <w:t>1.3(</w:t>
      </w:r>
      <w:proofErr w:type="spellStart"/>
      <w:r>
        <w:rPr>
          <w:rFonts w:ascii="Helvetica" w:hAnsi="Helvetica" w:cs="Helvetica"/>
          <w:shd w:val="clear" w:color="auto" w:fill="FFFFFF"/>
        </w:rPr>
        <w:t>i</w:t>
      </w:r>
      <w:proofErr w:type="spellEnd"/>
      <w:r>
        <w:rPr>
          <w:rFonts w:ascii="Helvetica" w:hAnsi="Helvetica" w:cs="Helvetica"/>
          <w:shd w:val="clear" w:color="auto" w:fill="FFFFFF"/>
        </w:rPr>
        <w:t>) “</w:t>
      </w:r>
      <w:r w:rsidR="00F85162" w:rsidRPr="00F85162">
        <w:rPr>
          <w:rFonts w:ascii="Helvetica" w:hAnsi="Helvetica" w:cs="Helvetica"/>
          <w:shd w:val="clear" w:color="auto" w:fill="FFFFFF"/>
        </w:rPr>
        <w:t>to promote the sharing of the responsibility for environmental planning and assessment between the different levels of government in the State</w:t>
      </w:r>
      <w:r>
        <w:rPr>
          <w:rFonts w:ascii="Helvetica" w:hAnsi="Helvetica" w:cs="Helvetica"/>
          <w:shd w:val="clear" w:color="auto" w:fill="FFFFFF"/>
        </w:rPr>
        <w:t>”.</w:t>
      </w:r>
    </w:p>
    <w:p w:rsidR="0050025A" w:rsidRPr="00F17F42" w:rsidRDefault="0050025A" w:rsidP="00F30E10">
      <w:pPr>
        <w:tabs>
          <w:tab w:val="left" w:pos="709"/>
        </w:tabs>
        <w:jc w:val="both"/>
        <w:rPr>
          <w:snapToGrid w:val="0"/>
        </w:rPr>
      </w:pPr>
    </w:p>
    <w:p w:rsidR="00052EDC" w:rsidRDefault="00052EDC" w:rsidP="00052EDC">
      <w:pPr>
        <w:ind w:left="720" w:hanging="720"/>
        <w:jc w:val="both"/>
        <w:rPr>
          <w:snapToGrid w:val="0"/>
        </w:rPr>
      </w:pPr>
    </w:p>
    <w:p w:rsidR="006F3A8A" w:rsidRPr="006F3A8A" w:rsidRDefault="006F3A8A" w:rsidP="006F3A8A">
      <w:pPr>
        <w:ind w:left="720"/>
        <w:jc w:val="both"/>
        <w:rPr>
          <w:snapToGrid w:val="0"/>
          <w:u w:val="single"/>
        </w:rPr>
      </w:pPr>
      <w:r w:rsidRPr="006F3A8A">
        <w:rPr>
          <w:snapToGrid w:val="0"/>
          <w:u w:val="single"/>
        </w:rPr>
        <w:t xml:space="preserve">How the Draft Planning Agreement promotes elements </w:t>
      </w:r>
      <w:r>
        <w:rPr>
          <w:snapToGrid w:val="0"/>
          <w:u w:val="single"/>
        </w:rPr>
        <w:t>of</w:t>
      </w:r>
      <w:r w:rsidRPr="006F3A8A">
        <w:rPr>
          <w:snapToGrid w:val="0"/>
          <w:u w:val="single"/>
        </w:rPr>
        <w:t xml:space="preserve"> the Council’s charter under section 8 of the Local Government Act, 1993</w:t>
      </w:r>
    </w:p>
    <w:p w:rsidR="006F3A8A" w:rsidRDefault="006F3A8A" w:rsidP="00052EDC">
      <w:pPr>
        <w:ind w:left="720" w:hanging="720"/>
        <w:jc w:val="both"/>
        <w:rPr>
          <w:snapToGrid w:val="0"/>
          <w:u w:val="single"/>
        </w:rPr>
      </w:pPr>
    </w:p>
    <w:p w:rsidR="006F6B8E" w:rsidRPr="00F17F42" w:rsidRDefault="006F6B8E" w:rsidP="006F6B8E">
      <w:pPr>
        <w:numPr>
          <w:ilvl w:val="0"/>
          <w:numId w:val="25"/>
        </w:numPr>
        <w:jc w:val="both"/>
        <w:rPr>
          <w:snapToGrid w:val="0"/>
        </w:rPr>
      </w:pPr>
      <w:r w:rsidRPr="00F17F42">
        <w:rPr>
          <w:snapToGrid w:val="0"/>
        </w:rPr>
        <w:t xml:space="preserve">The Draft Planning Agreement provides a means by which the Council shows a regard for the long term and cumulative effects of its decisions. The Council’s decisions impact public areas. The Council is conscious of a need for infrastructure and facilities </w:t>
      </w:r>
      <w:r w:rsidR="00F30E10">
        <w:rPr>
          <w:snapToGrid w:val="0"/>
        </w:rPr>
        <w:t xml:space="preserve">as well as affordable housing </w:t>
      </w:r>
      <w:r w:rsidRPr="00F17F42">
        <w:rPr>
          <w:snapToGrid w:val="0"/>
        </w:rPr>
        <w:t xml:space="preserve">within the public areas in its local government area and how its decisions and policies impact on seeking to fulfil </w:t>
      </w:r>
      <w:r w:rsidR="00F30E10">
        <w:rPr>
          <w:snapToGrid w:val="0"/>
        </w:rPr>
        <w:t>these</w:t>
      </w:r>
      <w:r w:rsidRPr="00F17F42">
        <w:rPr>
          <w:snapToGrid w:val="0"/>
        </w:rPr>
        <w:t xml:space="preserve"> need</w:t>
      </w:r>
      <w:r w:rsidR="00F30E10">
        <w:rPr>
          <w:snapToGrid w:val="0"/>
        </w:rPr>
        <w:t>s</w:t>
      </w:r>
      <w:r w:rsidRPr="00F17F42">
        <w:rPr>
          <w:snapToGrid w:val="0"/>
        </w:rPr>
        <w:t>;</w:t>
      </w:r>
    </w:p>
    <w:p w:rsidR="006F6B8E" w:rsidRPr="00F17F42" w:rsidRDefault="006F6B8E" w:rsidP="006F6B8E">
      <w:pPr>
        <w:ind w:left="1440"/>
        <w:jc w:val="both"/>
        <w:rPr>
          <w:snapToGrid w:val="0"/>
        </w:rPr>
      </w:pPr>
    </w:p>
    <w:p w:rsidR="006F6B8E" w:rsidRDefault="006F6B8E" w:rsidP="006F6B8E">
      <w:pPr>
        <w:numPr>
          <w:ilvl w:val="0"/>
          <w:numId w:val="25"/>
        </w:numPr>
        <w:jc w:val="both"/>
        <w:rPr>
          <w:snapToGrid w:val="0"/>
        </w:rPr>
      </w:pPr>
      <w:r w:rsidRPr="00F17F42">
        <w:rPr>
          <w:snapToGrid w:val="0"/>
        </w:rPr>
        <w:t xml:space="preserve">The </w:t>
      </w:r>
      <w:r w:rsidR="004F5C82">
        <w:rPr>
          <w:snapToGrid w:val="0"/>
        </w:rPr>
        <w:t>D</w:t>
      </w:r>
      <w:r w:rsidRPr="00F17F42">
        <w:rPr>
          <w:snapToGrid w:val="0"/>
        </w:rPr>
        <w:t>raft Planning Agreement provides a means by which Council shows it bears in mind that it is the custodian and trustee of public assets and seeks to effectively plan for and manage the assets for which it is responsible and facilitates its engaging in long term strategic planning on behalf of the local community.</w:t>
      </w:r>
    </w:p>
    <w:p w:rsidR="00F30E10" w:rsidRDefault="00F30E10" w:rsidP="00F30E10">
      <w:pPr>
        <w:pStyle w:val="ListParagraph"/>
        <w:rPr>
          <w:snapToGrid w:val="0"/>
        </w:rPr>
      </w:pPr>
    </w:p>
    <w:p w:rsidR="00F30E10" w:rsidRPr="00F30E10" w:rsidRDefault="00F30E10" w:rsidP="00F30E10">
      <w:pPr>
        <w:pStyle w:val="ListParagraph"/>
        <w:numPr>
          <w:ilvl w:val="0"/>
          <w:numId w:val="25"/>
        </w:numPr>
        <w:jc w:val="both"/>
        <w:rPr>
          <w:snapToGrid w:val="0"/>
        </w:rPr>
      </w:pPr>
      <w:r w:rsidRPr="00F30E10">
        <w:rPr>
          <w:snapToGrid w:val="0"/>
        </w:rPr>
        <w:t>In addition as the planning agreement is a means by which the Council can implement its Affordable Housing Policy, in doing so Council exercises community leadership in an area of concern to the wider community.</w:t>
      </w:r>
    </w:p>
    <w:p w:rsidR="00F30E10" w:rsidRPr="00F17F42" w:rsidRDefault="00F30E10" w:rsidP="00F30E10">
      <w:pPr>
        <w:ind w:left="1440"/>
        <w:jc w:val="both"/>
        <w:rPr>
          <w:snapToGrid w:val="0"/>
        </w:rPr>
      </w:pPr>
    </w:p>
    <w:p w:rsidR="006F6B8E" w:rsidRDefault="006F6B8E" w:rsidP="006F6B8E">
      <w:pPr>
        <w:ind w:left="720" w:hanging="720"/>
        <w:jc w:val="both"/>
        <w:rPr>
          <w:snapToGrid w:val="0"/>
        </w:rPr>
      </w:pPr>
    </w:p>
    <w:p w:rsidR="006F3A8A" w:rsidRPr="006F3A8A" w:rsidRDefault="006F3A8A" w:rsidP="006F3A8A">
      <w:pPr>
        <w:ind w:left="720"/>
        <w:jc w:val="both"/>
        <w:rPr>
          <w:snapToGrid w:val="0"/>
          <w:u w:val="single"/>
        </w:rPr>
      </w:pPr>
      <w:r w:rsidRPr="006F3A8A">
        <w:rPr>
          <w:snapToGrid w:val="0"/>
          <w:u w:val="single"/>
        </w:rPr>
        <w:t xml:space="preserve">Conformity with the </w:t>
      </w:r>
      <w:r>
        <w:rPr>
          <w:snapToGrid w:val="0"/>
          <w:u w:val="single"/>
        </w:rPr>
        <w:t>C</w:t>
      </w:r>
      <w:r w:rsidRPr="006F3A8A">
        <w:rPr>
          <w:snapToGrid w:val="0"/>
          <w:u w:val="single"/>
        </w:rPr>
        <w:t>ouncil’s Capital Works Program</w:t>
      </w:r>
    </w:p>
    <w:p w:rsidR="006F3A8A" w:rsidRDefault="006F3A8A" w:rsidP="00052EDC">
      <w:pPr>
        <w:ind w:left="720" w:hanging="720"/>
        <w:jc w:val="both"/>
        <w:rPr>
          <w:snapToGrid w:val="0"/>
        </w:rPr>
      </w:pPr>
    </w:p>
    <w:p w:rsidR="00F30E10" w:rsidRDefault="006F3A8A" w:rsidP="00F30E10">
      <w:pPr>
        <w:ind w:left="720" w:hanging="720"/>
        <w:jc w:val="both"/>
        <w:rPr>
          <w:snapToGrid w:val="0"/>
        </w:rPr>
      </w:pPr>
      <w:r>
        <w:rPr>
          <w:snapToGrid w:val="0"/>
        </w:rPr>
        <w:tab/>
        <w:t>The Draft Planning Agreement is not inconsistent with the Council’s Capital Works Program.</w:t>
      </w:r>
      <w:r w:rsidR="00F30E10">
        <w:rPr>
          <w:snapToGrid w:val="0"/>
        </w:rPr>
        <w:t xml:space="preserve"> </w:t>
      </w:r>
    </w:p>
    <w:p w:rsidR="00F30E10" w:rsidRDefault="00F30E10" w:rsidP="00F30E10">
      <w:pPr>
        <w:ind w:left="720" w:hanging="720"/>
        <w:jc w:val="both"/>
        <w:rPr>
          <w:snapToGrid w:val="0"/>
        </w:rPr>
      </w:pPr>
    </w:p>
    <w:p w:rsidR="006F6B8E" w:rsidRPr="0070171C" w:rsidRDefault="006F6B8E" w:rsidP="00F30E10">
      <w:pPr>
        <w:ind w:left="720"/>
        <w:jc w:val="both"/>
        <w:rPr>
          <w:u w:val="single"/>
        </w:rPr>
      </w:pPr>
      <w:r w:rsidRPr="0070171C">
        <w:rPr>
          <w:u w:val="single"/>
        </w:rPr>
        <w:t>Whether the Agreement specifies th</w:t>
      </w:r>
      <w:r w:rsidRPr="005903DA">
        <w:rPr>
          <w:u w:val="single"/>
        </w:rPr>
        <w:t xml:space="preserve">at certain requirements of the </w:t>
      </w:r>
      <w:r>
        <w:rPr>
          <w:u w:val="single"/>
        </w:rPr>
        <w:t>A</w:t>
      </w:r>
      <w:r w:rsidRPr="0070171C">
        <w:rPr>
          <w:u w:val="single"/>
        </w:rPr>
        <w:t>greement must be complied with before a construction certificate, occupation certificate or subdivision certificate is issued</w:t>
      </w:r>
    </w:p>
    <w:p w:rsidR="006F6B8E" w:rsidRDefault="006F6B8E" w:rsidP="006F6B8E">
      <w:pPr>
        <w:ind w:left="720" w:hanging="720"/>
        <w:jc w:val="both"/>
      </w:pPr>
    </w:p>
    <w:p w:rsidR="006F6B8E" w:rsidRPr="00F17F42" w:rsidRDefault="006F6B8E" w:rsidP="006F6B8E">
      <w:pPr>
        <w:ind w:left="720" w:hanging="720"/>
        <w:jc w:val="both"/>
        <w:rPr>
          <w:snapToGrid w:val="0"/>
        </w:rPr>
      </w:pPr>
      <w:r>
        <w:tab/>
        <w:t xml:space="preserve">Yes, as detailed above in relation to </w:t>
      </w:r>
      <w:r w:rsidR="00491392">
        <w:t>bank guarantee</w:t>
      </w:r>
      <w:r w:rsidR="00204868">
        <w:t xml:space="preserve"> and </w:t>
      </w:r>
      <w:r w:rsidR="00491392">
        <w:t xml:space="preserve">registration </w:t>
      </w:r>
      <w:r w:rsidR="00A76337">
        <w:rPr>
          <w:snapToGrid w:val="0"/>
        </w:rPr>
        <w:t>prior to the issue</w:t>
      </w:r>
      <w:r w:rsidR="0026025D">
        <w:rPr>
          <w:snapToGrid w:val="0"/>
        </w:rPr>
        <w:t xml:space="preserve"> of a Construction Certificate</w:t>
      </w:r>
      <w:r w:rsidR="00A76337">
        <w:rPr>
          <w:snapToGrid w:val="0"/>
        </w:rPr>
        <w:t xml:space="preserve"> </w:t>
      </w:r>
      <w:r w:rsidR="00491392">
        <w:t>and to enforce payment of the monetary contribution</w:t>
      </w:r>
      <w:r w:rsidR="004F5C82">
        <w:t xml:space="preserve"> prior to the issuing of any </w:t>
      </w:r>
      <w:r w:rsidR="008E0E81">
        <w:t>O</w:t>
      </w:r>
      <w:r w:rsidR="004F5C82">
        <w:t xml:space="preserve">ccupation </w:t>
      </w:r>
      <w:r w:rsidR="008E0E81">
        <w:t>C</w:t>
      </w:r>
      <w:r w:rsidR="004F5C82">
        <w:t>ertificate</w:t>
      </w:r>
      <w:r>
        <w:t>.</w:t>
      </w:r>
    </w:p>
    <w:p w:rsidR="00233D09" w:rsidRDefault="00233D09" w:rsidP="00052EDC">
      <w:pPr>
        <w:ind w:left="720" w:hanging="720"/>
        <w:jc w:val="both"/>
        <w:rPr>
          <w:snapToGrid w:val="0"/>
        </w:rPr>
      </w:pPr>
    </w:p>
    <w:p w:rsidR="00DE40B9" w:rsidRPr="006F3A8A" w:rsidRDefault="00233D09" w:rsidP="00370CFC">
      <w:pPr>
        <w:jc w:val="both"/>
        <w:rPr>
          <w:snapToGrid w:val="0"/>
        </w:rPr>
      </w:pPr>
      <w:r w:rsidRPr="00233D09">
        <w:rPr>
          <w:b/>
          <w:snapToGrid w:val="0"/>
        </w:rPr>
        <w:t xml:space="preserve">This explanatory note is not to be used to assist in construing the Planning </w:t>
      </w:r>
      <w:r w:rsidR="00DC211C">
        <w:rPr>
          <w:b/>
          <w:snapToGrid w:val="0"/>
        </w:rPr>
        <w:t>Agreement</w:t>
      </w:r>
    </w:p>
    <w:sectPr w:rsidR="00DE40B9" w:rsidRPr="006F3A8A" w:rsidSect="00EC0DA0">
      <w:headerReference w:type="even" r:id="rId9"/>
      <w:headerReference w:type="default" r:id="rId10"/>
      <w:footerReference w:type="default" r:id="rId11"/>
      <w:pgSz w:w="11906" w:h="16838"/>
      <w:pgMar w:top="1134" w:right="1106" w:bottom="1134" w:left="179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04" w:rsidRDefault="009A7A04">
      <w:r>
        <w:separator/>
      </w:r>
    </w:p>
  </w:endnote>
  <w:endnote w:type="continuationSeparator" w:id="0">
    <w:p w:rsidR="009A7A04" w:rsidRDefault="009A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8C" w:rsidRPr="00F47697" w:rsidRDefault="003867A9">
    <w:pPr>
      <w:pStyle w:val="Footer"/>
      <w:rPr>
        <w:sz w:val="16"/>
        <w:szCs w:val="16"/>
        <w:lang w:val="en-AU"/>
      </w:rPr>
    </w:pPr>
    <w:r>
      <w:rPr>
        <w:sz w:val="16"/>
        <w:szCs w:val="16"/>
        <w:lang w:val="en-AU"/>
      </w:rPr>
      <w:t>9901253 180507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04" w:rsidRDefault="009A7A04">
      <w:r>
        <w:separator/>
      </w:r>
    </w:p>
  </w:footnote>
  <w:footnote w:type="continuationSeparator" w:id="0">
    <w:p w:rsidR="009A7A04" w:rsidRDefault="009A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53" w:rsidRDefault="009C30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EC1">
      <w:rPr>
        <w:rStyle w:val="PageNumber"/>
        <w:noProof/>
      </w:rPr>
      <w:t>4</w:t>
    </w:r>
    <w:r>
      <w:rPr>
        <w:rStyle w:val="PageNumber"/>
      </w:rPr>
      <w:fldChar w:fldCharType="end"/>
    </w:r>
  </w:p>
  <w:p w:rsidR="009C3053" w:rsidRDefault="009C3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053" w:rsidRDefault="009C30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C53">
      <w:rPr>
        <w:rStyle w:val="PageNumber"/>
        <w:noProof/>
      </w:rPr>
      <w:t>4</w:t>
    </w:r>
    <w:r>
      <w:rPr>
        <w:rStyle w:val="PageNumber"/>
      </w:rPr>
      <w:fldChar w:fldCharType="end"/>
    </w:r>
  </w:p>
  <w:p w:rsidR="009C3053" w:rsidRDefault="009C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041"/>
    <w:multiLevelType w:val="singleLevel"/>
    <w:tmpl w:val="9D205974"/>
    <w:lvl w:ilvl="0">
      <w:start w:val="2"/>
      <w:numFmt w:val="lowerLetter"/>
      <w:lvlText w:val="(%1)"/>
      <w:lvlJc w:val="left"/>
      <w:pPr>
        <w:tabs>
          <w:tab w:val="num" w:pos="2160"/>
        </w:tabs>
        <w:ind w:left="2160" w:hanging="720"/>
      </w:pPr>
      <w:rPr>
        <w:rFonts w:hint="default"/>
      </w:rPr>
    </w:lvl>
  </w:abstractNum>
  <w:abstractNum w:abstractNumId="1" w15:restartNumberingAfterBreak="0">
    <w:nsid w:val="043F0BD6"/>
    <w:multiLevelType w:val="hybridMultilevel"/>
    <w:tmpl w:val="2B76B010"/>
    <w:lvl w:ilvl="0" w:tplc="42669FE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05C46EB8"/>
    <w:multiLevelType w:val="hybridMultilevel"/>
    <w:tmpl w:val="F01608B4"/>
    <w:lvl w:ilvl="0" w:tplc="0480F9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92EE1"/>
    <w:multiLevelType w:val="singleLevel"/>
    <w:tmpl w:val="70F60E22"/>
    <w:lvl w:ilvl="0">
      <w:start w:val="1"/>
      <w:numFmt w:val="upperLetter"/>
      <w:lvlText w:val="%1."/>
      <w:lvlJc w:val="left"/>
      <w:pPr>
        <w:tabs>
          <w:tab w:val="num" w:pos="375"/>
        </w:tabs>
        <w:ind w:left="375" w:hanging="375"/>
      </w:pPr>
      <w:rPr>
        <w:rFonts w:hint="default"/>
        <w:b/>
      </w:rPr>
    </w:lvl>
  </w:abstractNum>
  <w:abstractNum w:abstractNumId="4" w15:restartNumberingAfterBreak="0">
    <w:nsid w:val="0B1F56D5"/>
    <w:multiLevelType w:val="singleLevel"/>
    <w:tmpl w:val="D3505E20"/>
    <w:lvl w:ilvl="0">
      <w:start w:val="2"/>
      <w:numFmt w:val="lowerLetter"/>
      <w:lvlText w:val="(%1)"/>
      <w:lvlJc w:val="left"/>
      <w:pPr>
        <w:tabs>
          <w:tab w:val="num" w:pos="2160"/>
        </w:tabs>
        <w:ind w:left="2160" w:hanging="720"/>
      </w:pPr>
      <w:rPr>
        <w:rFonts w:hint="default"/>
      </w:rPr>
    </w:lvl>
  </w:abstractNum>
  <w:abstractNum w:abstractNumId="5" w15:restartNumberingAfterBreak="0">
    <w:nsid w:val="0FA55163"/>
    <w:multiLevelType w:val="multilevel"/>
    <w:tmpl w:val="BA7CBE14"/>
    <w:lvl w:ilvl="0">
      <w:start w:val="1"/>
      <w:numFmt w:val="lowerLetter"/>
      <w:lvlText w:val="(%1)"/>
      <w:lvlJc w:val="left"/>
      <w:pPr>
        <w:tabs>
          <w:tab w:val="num" w:pos="2153"/>
        </w:tabs>
        <w:ind w:left="2153" w:hanging="735"/>
      </w:pPr>
      <w:rPr>
        <w:rFonts w:hint="default"/>
      </w:rPr>
    </w:lvl>
    <w:lvl w:ilvl="1">
      <w:start w:val="1"/>
      <w:numFmt w:val="lowerLetter"/>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2"/>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24794B"/>
    <w:multiLevelType w:val="hybridMultilevel"/>
    <w:tmpl w:val="B66AA9B6"/>
    <w:lvl w:ilvl="0" w:tplc="5BE491A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565D"/>
    <w:multiLevelType w:val="singleLevel"/>
    <w:tmpl w:val="0614890E"/>
    <w:lvl w:ilvl="0">
      <w:start w:val="1"/>
      <w:numFmt w:val="lowerLetter"/>
      <w:lvlText w:val="(%1)"/>
      <w:lvlJc w:val="left"/>
      <w:pPr>
        <w:tabs>
          <w:tab w:val="num" w:pos="1778"/>
        </w:tabs>
        <w:ind w:left="1778" w:hanging="360"/>
      </w:pPr>
      <w:rPr>
        <w:rFonts w:hint="default"/>
      </w:rPr>
    </w:lvl>
  </w:abstractNum>
  <w:abstractNum w:abstractNumId="8" w15:restartNumberingAfterBreak="0">
    <w:nsid w:val="24DB2DB8"/>
    <w:multiLevelType w:val="hybridMultilevel"/>
    <w:tmpl w:val="52BC4E40"/>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9" w15:restartNumberingAfterBreak="0">
    <w:nsid w:val="28586C1F"/>
    <w:multiLevelType w:val="singleLevel"/>
    <w:tmpl w:val="69020E88"/>
    <w:lvl w:ilvl="0">
      <w:start w:val="1"/>
      <w:numFmt w:val="upperLetter"/>
      <w:lvlText w:val="%1."/>
      <w:lvlJc w:val="left"/>
      <w:pPr>
        <w:tabs>
          <w:tab w:val="num" w:pos="2160"/>
        </w:tabs>
        <w:ind w:left="2160" w:hanging="720"/>
      </w:pPr>
      <w:rPr>
        <w:rFonts w:hint="default"/>
      </w:rPr>
    </w:lvl>
  </w:abstractNum>
  <w:abstractNum w:abstractNumId="10" w15:restartNumberingAfterBreak="0">
    <w:nsid w:val="28B157E1"/>
    <w:multiLevelType w:val="singleLevel"/>
    <w:tmpl w:val="5AF84EF2"/>
    <w:lvl w:ilvl="0">
      <w:start w:val="1"/>
      <w:numFmt w:val="lowerLetter"/>
      <w:lvlText w:val="(%1)"/>
      <w:lvlJc w:val="left"/>
      <w:pPr>
        <w:tabs>
          <w:tab w:val="num" w:pos="2153"/>
        </w:tabs>
        <w:ind w:left="2153" w:hanging="735"/>
      </w:pPr>
      <w:rPr>
        <w:rFonts w:hint="default"/>
      </w:rPr>
    </w:lvl>
  </w:abstractNum>
  <w:abstractNum w:abstractNumId="11" w15:restartNumberingAfterBreak="0">
    <w:nsid w:val="2CE86D17"/>
    <w:multiLevelType w:val="hybridMultilevel"/>
    <w:tmpl w:val="BCDA8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E54794A"/>
    <w:multiLevelType w:val="hybridMultilevel"/>
    <w:tmpl w:val="AFAE24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E9062D8"/>
    <w:multiLevelType w:val="hybridMultilevel"/>
    <w:tmpl w:val="7B9C904E"/>
    <w:lvl w:ilvl="0" w:tplc="F034B97C">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46F15F2B"/>
    <w:multiLevelType w:val="singleLevel"/>
    <w:tmpl w:val="8C681C96"/>
    <w:lvl w:ilvl="0">
      <w:start w:val="8"/>
      <w:numFmt w:val="bullet"/>
      <w:lvlText w:val=""/>
      <w:lvlJc w:val="left"/>
      <w:pPr>
        <w:tabs>
          <w:tab w:val="num" w:pos="720"/>
        </w:tabs>
        <w:ind w:left="720" w:hanging="720"/>
      </w:pPr>
      <w:rPr>
        <w:rFonts w:ascii="Symbol" w:hAnsi="Symbol" w:hint="default"/>
      </w:rPr>
    </w:lvl>
  </w:abstractNum>
  <w:abstractNum w:abstractNumId="15" w15:restartNumberingAfterBreak="0">
    <w:nsid w:val="54DB1907"/>
    <w:multiLevelType w:val="hybridMultilevel"/>
    <w:tmpl w:val="53B22E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AC44810"/>
    <w:multiLevelType w:val="hybridMultilevel"/>
    <w:tmpl w:val="B79A0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54737D"/>
    <w:multiLevelType w:val="hybridMultilevel"/>
    <w:tmpl w:val="B9E284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BF442C9"/>
    <w:multiLevelType w:val="singleLevel"/>
    <w:tmpl w:val="9FC01A80"/>
    <w:lvl w:ilvl="0">
      <w:start w:val="1"/>
      <w:numFmt w:val="lowerLetter"/>
      <w:lvlText w:val="(%1)"/>
      <w:lvlJc w:val="left"/>
      <w:pPr>
        <w:tabs>
          <w:tab w:val="num" w:pos="2153"/>
        </w:tabs>
        <w:ind w:left="2153" w:hanging="735"/>
      </w:pPr>
      <w:rPr>
        <w:rFonts w:hint="default"/>
      </w:rPr>
    </w:lvl>
  </w:abstractNum>
  <w:abstractNum w:abstractNumId="19" w15:restartNumberingAfterBreak="0">
    <w:nsid w:val="6E336CEE"/>
    <w:multiLevelType w:val="hybridMultilevel"/>
    <w:tmpl w:val="5082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73BE5"/>
    <w:multiLevelType w:val="multilevel"/>
    <w:tmpl w:val="F9B8959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7287A3C"/>
    <w:multiLevelType w:val="hybridMultilevel"/>
    <w:tmpl w:val="5EF69364"/>
    <w:lvl w:ilvl="0" w:tplc="1414A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D973F4"/>
    <w:multiLevelType w:val="multilevel"/>
    <w:tmpl w:val="464AE848"/>
    <w:lvl w:ilvl="0">
      <w:start w:val="1"/>
      <w:numFmt w:val="decimal"/>
      <w:lvlText w:val="%1."/>
      <w:lvlJc w:val="left"/>
      <w:pPr>
        <w:tabs>
          <w:tab w:val="num" w:pos="720"/>
        </w:tabs>
        <w:ind w:left="720" w:hanging="720"/>
      </w:pPr>
      <w:rPr>
        <w:rFonts w:hint="default"/>
        <w:b/>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7AC36FA5"/>
    <w:multiLevelType w:val="hybridMultilevel"/>
    <w:tmpl w:val="96B40D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5"/>
  </w:num>
  <w:num w:numId="4">
    <w:abstractNumId w:val="22"/>
    <w:lvlOverride w:ilvl="0">
      <w:startOverride w:val="3"/>
    </w:lvlOverride>
    <w:lvlOverride w:ilvl="1">
      <w:startOverride w:val="1"/>
    </w:lvlOverride>
  </w:num>
  <w:num w:numId="5">
    <w:abstractNumId w:val="0"/>
  </w:num>
  <w:num w:numId="6">
    <w:abstractNumId w:val="14"/>
  </w:num>
  <w:num w:numId="7">
    <w:abstractNumId w:val="7"/>
  </w:num>
  <w:num w:numId="8">
    <w:abstractNumId w:val="10"/>
  </w:num>
  <w:num w:numId="9">
    <w:abstractNumId w:val="18"/>
  </w:num>
  <w:num w:numId="10">
    <w:abstractNumId w:val="20"/>
  </w:num>
  <w:num w:numId="11">
    <w:abstractNumId w:val="4"/>
  </w:num>
  <w:num w:numId="12">
    <w:abstractNumId w:val="9"/>
  </w:num>
  <w:num w:numId="13">
    <w:abstractNumId w:val="22"/>
    <w:lvlOverride w:ilvl="0">
      <w:startOverride w:val="5"/>
    </w:lvlOverride>
    <w:lvlOverride w:ilvl="1">
      <w:startOverride w:val="1"/>
    </w:lvlOverride>
  </w:num>
  <w:num w:numId="14">
    <w:abstractNumId w:val="22"/>
    <w:lvlOverride w:ilvl="0">
      <w:startOverride w:val="7"/>
    </w:lvlOverride>
    <w:lvlOverride w:ilvl="1">
      <w:startOverride w:val="1"/>
    </w:lvlOverride>
  </w:num>
  <w:num w:numId="15">
    <w:abstractNumId w:val="22"/>
    <w:lvlOverride w:ilvl="0">
      <w:startOverride w:val="9"/>
    </w:lvlOverride>
    <w:lvlOverride w:ilvl="1">
      <w:startOverride w:val="1"/>
    </w:lvlOverride>
  </w:num>
  <w:num w:numId="16">
    <w:abstractNumId w:val="22"/>
    <w:lvlOverride w:ilvl="0">
      <w:startOverride w:val="10"/>
    </w:lvlOverride>
    <w:lvlOverride w:ilvl="1">
      <w:startOverride w:val="1"/>
    </w:lvlOverride>
  </w:num>
  <w:num w:numId="17">
    <w:abstractNumId w:val="1"/>
  </w:num>
  <w:num w:numId="18">
    <w:abstractNumId w:val="13"/>
  </w:num>
  <w:num w:numId="19">
    <w:abstractNumId w:val="6"/>
  </w:num>
  <w:num w:numId="20">
    <w:abstractNumId w:val="16"/>
  </w:num>
  <w:num w:numId="21">
    <w:abstractNumId w:val="11"/>
  </w:num>
  <w:num w:numId="22">
    <w:abstractNumId w:val="23"/>
  </w:num>
  <w:num w:numId="23">
    <w:abstractNumId w:val="17"/>
  </w:num>
  <w:num w:numId="24">
    <w:abstractNumId w:val="8"/>
  </w:num>
  <w:num w:numId="25">
    <w:abstractNumId w:val="15"/>
  </w:num>
  <w:num w:numId="26">
    <w:abstractNumId w:val="12"/>
  </w:num>
  <w:num w:numId="27">
    <w:abstractNumId w:val="19"/>
  </w:num>
  <w:num w:numId="28">
    <w:abstractNumId w:val="21"/>
  </w:num>
  <w:num w:numId="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70"/>
    <w:rsid w:val="000160F1"/>
    <w:rsid w:val="00023D65"/>
    <w:rsid w:val="00032F6D"/>
    <w:rsid w:val="00041287"/>
    <w:rsid w:val="00052EDC"/>
    <w:rsid w:val="00053BE3"/>
    <w:rsid w:val="00061360"/>
    <w:rsid w:val="00077D4E"/>
    <w:rsid w:val="000845E9"/>
    <w:rsid w:val="000A2DA2"/>
    <w:rsid w:val="000E6C71"/>
    <w:rsid w:val="000F0BD5"/>
    <w:rsid w:val="000F67E2"/>
    <w:rsid w:val="00105B70"/>
    <w:rsid w:val="0011097F"/>
    <w:rsid w:val="0011499F"/>
    <w:rsid w:val="001229AA"/>
    <w:rsid w:val="00185D0B"/>
    <w:rsid w:val="001A13EF"/>
    <w:rsid w:val="001A4701"/>
    <w:rsid w:val="001C44E3"/>
    <w:rsid w:val="001C5358"/>
    <w:rsid w:val="001F0810"/>
    <w:rsid w:val="00204868"/>
    <w:rsid w:val="00224EDE"/>
    <w:rsid w:val="00233D09"/>
    <w:rsid w:val="00237377"/>
    <w:rsid w:val="0026025D"/>
    <w:rsid w:val="002B3811"/>
    <w:rsid w:val="002B4635"/>
    <w:rsid w:val="002F388E"/>
    <w:rsid w:val="00314D2D"/>
    <w:rsid w:val="00320853"/>
    <w:rsid w:val="00364090"/>
    <w:rsid w:val="00370CFC"/>
    <w:rsid w:val="003725E9"/>
    <w:rsid w:val="003867A9"/>
    <w:rsid w:val="00386AE9"/>
    <w:rsid w:val="003C02BD"/>
    <w:rsid w:val="003D2DEC"/>
    <w:rsid w:val="003D775C"/>
    <w:rsid w:val="003F2DBA"/>
    <w:rsid w:val="0041514E"/>
    <w:rsid w:val="00491392"/>
    <w:rsid w:val="004A4A5D"/>
    <w:rsid w:val="004B0141"/>
    <w:rsid w:val="004D1EA2"/>
    <w:rsid w:val="004D25DE"/>
    <w:rsid w:val="004E0737"/>
    <w:rsid w:val="004E6329"/>
    <w:rsid w:val="004F5C82"/>
    <w:rsid w:val="0050025A"/>
    <w:rsid w:val="0050323E"/>
    <w:rsid w:val="00506358"/>
    <w:rsid w:val="005135E6"/>
    <w:rsid w:val="00516BF2"/>
    <w:rsid w:val="005302E8"/>
    <w:rsid w:val="00535697"/>
    <w:rsid w:val="00537D1E"/>
    <w:rsid w:val="00553FBD"/>
    <w:rsid w:val="0056146E"/>
    <w:rsid w:val="00582BF5"/>
    <w:rsid w:val="00594A40"/>
    <w:rsid w:val="005E0A48"/>
    <w:rsid w:val="005F2241"/>
    <w:rsid w:val="005F7DC5"/>
    <w:rsid w:val="0060624C"/>
    <w:rsid w:val="00620B36"/>
    <w:rsid w:val="00620EDC"/>
    <w:rsid w:val="00643028"/>
    <w:rsid w:val="006566EB"/>
    <w:rsid w:val="00673B72"/>
    <w:rsid w:val="006775C0"/>
    <w:rsid w:val="006B061C"/>
    <w:rsid w:val="006B350D"/>
    <w:rsid w:val="006D6F6F"/>
    <w:rsid w:val="006F3A8A"/>
    <w:rsid w:val="006F5989"/>
    <w:rsid w:val="006F6B8E"/>
    <w:rsid w:val="00703534"/>
    <w:rsid w:val="0074344E"/>
    <w:rsid w:val="00761DF3"/>
    <w:rsid w:val="00771AAE"/>
    <w:rsid w:val="00777E52"/>
    <w:rsid w:val="007827CA"/>
    <w:rsid w:val="007A0365"/>
    <w:rsid w:val="007B3B71"/>
    <w:rsid w:val="007D08F6"/>
    <w:rsid w:val="007F43DD"/>
    <w:rsid w:val="00814B0B"/>
    <w:rsid w:val="008262B1"/>
    <w:rsid w:val="00851618"/>
    <w:rsid w:val="008A70E7"/>
    <w:rsid w:val="008B6455"/>
    <w:rsid w:val="008D2D13"/>
    <w:rsid w:val="008E0E81"/>
    <w:rsid w:val="00913399"/>
    <w:rsid w:val="00935B10"/>
    <w:rsid w:val="0094298C"/>
    <w:rsid w:val="00944A5E"/>
    <w:rsid w:val="00947B31"/>
    <w:rsid w:val="0096596C"/>
    <w:rsid w:val="009946B6"/>
    <w:rsid w:val="009A7A04"/>
    <w:rsid w:val="009B3FAB"/>
    <w:rsid w:val="009C0B45"/>
    <w:rsid w:val="009C3053"/>
    <w:rsid w:val="009D7E3F"/>
    <w:rsid w:val="009E7EF8"/>
    <w:rsid w:val="00A0059E"/>
    <w:rsid w:val="00A24480"/>
    <w:rsid w:val="00A27965"/>
    <w:rsid w:val="00A43BDC"/>
    <w:rsid w:val="00A521CE"/>
    <w:rsid w:val="00A55418"/>
    <w:rsid w:val="00A63F04"/>
    <w:rsid w:val="00A76337"/>
    <w:rsid w:val="00AA1D40"/>
    <w:rsid w:val="00AA682A"/>
    <w:rsid w:val="00AB43A9"/>
    <w:rsid w:val="00AB46B2"/>
    <w:rsid w:val="00B01F21"/>
    <w:rsid w:val="00BB256B"/>
    <w:rsid w:val="00BD1549"/>
    <w:rsid w:val="00BD1EAD"/>
    <w:rsid w:val="00BD4271"/>
    <w:rsid w:val="00BD4621"/>
    <w:rsid w:val="00BD769C"/>
    <w:rsid w:val="00BF0697"/>
    <w:rsid w:val="00C010EB"/>
    <w:rsid w:val="00C104DB"/>
    <w:rsid w:val="00C122A7"/>
    <w:rsid w:val="00C157FB"/>
    <w:rsid w:val="00C672B1"/>
    <w:rsid w:val="00C95CC0"/>
    <w:rsid w:val="00CB26D1"/>
    <w:rsid w:val="00CD76DA"/>
    <w:rsid w:val="00CE7E8D"/>
    <w:rsid w:val="00D05B72"/>
    <w:rsid w:val="00D06EC1"/>
    <w:rsid w:val="00D75B31"/>
    <w:rsid w:val="00D91E8E"/>
    <w:rsid w:val="00D93207"/>
    <w:rsid w:val="00DB6E5C"/>
    <w:rsid w:val="00DC211C"/>
    <w:rsid w:val="00DE2C53"/>
    <w:rsid w:val="00DE40B9"/>
    <w:rsid w:val="00DF14DB"/>
    <w:rsid w:val="00E02B6F"/>
    <w:rsid w:val="00E6692D"/>
    <w:rsid w:val="00E67AC8"/>
    <w:rsid w:val="00EC0DA0"/>
    <w:rsid w:val="00EC5991"/>
    <w:rsid w:val="00EE1474"/>
    <w:rsid w:val="00EE5353"/>
    <w:rsid w:val="00F00289"/>
    <w:rsid w:val="00F13CB9"/>
    <w:rsid w:val="00F30E10"/>
    <w:rsid w:val="00F47697"/>
    <w:rsid w:val="00F54F66"/>
    <w:rsid w:val="00F84FA7"/>
    <w:rsid w:val="00F85162"/>
    <w:rsid w:val="00FC2DBA"/>
    <w:rsid w:val="00FD1018"/>
    <w:rsid w:val="00FD251C"/>
    <w:rsid w:val="00FD36AE"/>
    <w:rsid w:val="00FD7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391CE0-1FE2-4E05-91A6-52782B32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pBdr>
        <w:bottom w:val="single" w:sz="6" w:space="0" w:color="000000"/>
      </w:pBdr>
      <w:outlineLvl w:val="0"/>
    </w:pPr>
    <w:rPr>
      <w:b/>
      <w:snapToGrid w:val="0"/>
      <w:sz w:val="16"/>
    </w:rPr>
  </w:style>
  <w:style w:type="paragraph" w:styleId="Heading2">
    <w:name w:val="heading 2"/>
    <w:basedOn w:val="Normal"/>
    <w:next w:val="Normal"/>
    <w:qFormat/>
    <w:pPr>
      <w:keepNext/>
      <w:jc w:val="center"/>
      <w:outlineLvl w:val="1"/>
    </w:pPr>
    <w:rPr>
      <w:b/>
      <w:snapToGrid w:val="0"/>
      <w:sz w:val="23"/>
    </w:rPr>
  </w:style>
  <w:style w:type="paragraph" w:styleId="Heading3">
    <w:name w:val="heading 3"/>
    <w:basedOn w:val="Normal"/>
    <w:next w:val="Normal"/>
    <w:qFormat/>
    <w:pPr>
      <w:keepNext/>
      <w:jc w:val="both"/>
      <w:outlineLvl w:val="2"/>
    </w:pPr>
    <w:rPr>
      <w:b/>
      <w:snapToGrid w:val="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BodyTextIndent">
    <w:name w:val="Body Text Indent"/>
    <w:basedOn w:val="Normal"/>
    <w:pPr>
      <w:ind w:left="993" w:hanging="273"/>
      <w:jc w:val="both"/>
    </w:pPr>
    <w:rPr>
      <w:lang w:val="en-US"/>
    </w:rPr>
  </w:style>
  <w:style w:type="paragraph" w:styleId="BodyTextIndent2">
    <w:name w:val="Body Text Indent 2"/>
    <w:basedOn w:val="Normal"/>
    <w:pPr>
      <w:ind w:left="1080" w:hanging="270"/>
      <w:jc w:val="both"/>
    </w:pPr>
    <w:rPr>
      <w:sz w:val="23"/>
    </w:rPr>
  </w:style>
  <w:style w:type="character" w:styleId="PageNumber">
    <w:name w:val="page number"/>
    <w:basedOn w:val="DefaultParagraphFont"/>
  </w:style>
  <w:style w:type="paragraph" w:styleId="BodyTextIndent3">
    <w:name w:val="Body Text Indent 3"/>
    <w:basedOn w:val="Normal"/>
    <w:pPr>
      <w:ind w:left="1440"/>
      <w:jc w:val="both"/>
    </w:pPr>
  </w:style>
  <w:style w:type="paragraph" w:styleId="BodyText">
    <w:name w:val="Body Text"/>
    <w:basedOn w:val="Normal"/>
    <w:rPr>
      <w:b/>
    </w:rPr>
  </w:style>
  <w:style w:type="paragraph" w:styleId="ListParagraph">
    <w:name w:val="List Paragraph"/>
    <w:basedOn w:val="Normal"/>
    <w:uiPriority w:val="34"/>
    <w:qFormat/>
    <w:rsid w:val="00BB256B"/>
    <w:pPr>
      <w:ind w:left="720"/>
    </w:pPr>
  </w:style>
  <w:style w:type="character" w:styleId="Hyperlink">
    <w:name w:val="Hyperlink"/>
    <w:uiPriority w:val="99"/>
    <w:unhideWhenUsed/>
    <w:rsid w:val="006F6B8E"/>
    <w:rPr>
      <w:color w:val="0000FF"/>
      <w:u w:val="single"/>
    </w:rPr>
  </w:style>
  <w:style w:type="character" w:customStyle="1" w:styleId="FooterChar">
    <w:name w:val="Footer Char"/>
    <w:link w:val="Footer"/>
    <w:uiPriority w:val="99"/>
    <w:rsid w:val="0094298C"/>
    <w:rPr>
      <w:rFonts w:ascii="Arial" w:hAnsi="Arial"/>
      <w:sz w:val="22"/>
      <w:lang w:eastAsia="en-US"/>
    </w:rPr>
  </w:style>
  <w:style w:type="paragraph" w:styleId="BalloonText">
    <w:name w:val="Balloon Text"/>
    <w:basedOn w:val="Normal"/>
    <w:link w:val="BalloonTextChar"/>
    <w:rsid w:val="00C010EB"/>
    <w:rPr>
      <w:rFonts w:ascii="Tahoma" w:hAnsi="Tahoma" w:cs="Tahoma"/>
      <w:sz w:val="16"/>
      <w:szCs w:val="16"/>
    </w:rPr>
  </w:style>
  <w:style w:type="character" w:customStyle="1" w:styleId="BalloonTextChar">
    <w:name w:val="Balloon Text Char"/>
    <w:basedOn w:val="DefaultParagraphFont"/>
    <w:link w:val="BalloonText"/>
    <w:rsid w:val="00C010EB"/>
    <w:rPr>
      <w:rFonts w:ascii="Tahoma" w:hAnsi="Tahoma" w:cs="Tahoma"/>
      <w:sz w:val="16"/>
      <w:szCs w:val="16"/>
      <w:lang w:eastAsia="en-US"/>
    </w:rPr>
  </w:style>
  <w:style w:type="character" w:styleId="CommentReference">
    <w:name w:val="annotation reference"/>
    <w:basedOn w:val="DefaultParagraphFont"/>
    <w:rsid w:val="00C010EB"/>
    <w:rPr>
      <w:sz w:val="16"/>
      <w:szCs w:val="16"/>
    </w:rPr>
  </w:style>
  <w:style w:type="paragraph" w:styleId="CommentText">
    <w:name w:val="annotation text"/>
    <w:basedOn w:val="Normal"/>
    <w:link w:val="CommentTextChar"/>
    <w:rsid w:val="00C010EB"/>
    <w:rPr>
      <w:sz w:val="20"/>
    </w:rPr>
  </w:style>
  <w:style w:type="character" w:customStyle="1" w:styleId="CommentTextChar">
    <w:name w:val="Comment Text Char"/>
    <w:basedOn w:val="DefaultParagraphFont"/>
    <w:link w:val="CommentText"/>
    <w:rsid w:val="00C010EB"/>
    <w:rPr>
      <w:rFonts w:ascii="Arial" w:hAnsi="Arial"/>
      <w:lang w:eastAsia="en-US"/>
    </w:rPr>
  </w:style>
  <w:style w:type="paragraph" w:styleId="CommentSubject">
    <w:name w:val="annotation subject"/>
    <w:basedOn w:val="CommentText"/>
    <w:next w:val="CommentText"/>
    <w:link w:val="CommentSubjectChar"/>
    <w:rsid w:val="00C010EB"/>
    <w:rPr>
      <w:b/>
      <w:bCs/>
    </w:rPr>
  </w:style>
  <w:style w:type="character" w:customStyle="1" w:styleId="CommentSubjectChar">
    <w:name w:val="Comment Subject Char"/>
    <w:basedOn w:val="CommentTextChar"/>
    <w:link w:val="CommentSubject"/>
    <w:rsid w:val="00C010EB"/>
    <w:rPr>
      <w:rFonts w:ascii="Arial" w:hAnsi="Arial"/>
      <w:b/>
      <w:bCs/>
      <w:lang w:eastAsia="en-US"/>
    </w:rPr>
  </w:style>
  <w:style w:type="paragraph" w:styleId="Revision">
    <w:name w:val="Revision"/>
    <w:hidden/>
    <w:uiPriority w:val="99"/>
    <w:semiHidden/>
    <w:rsid w:val="00777E5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4890">
      <w:bodyDiv w:val="1"/>
      <w:marLeft w:val="0"/>
      <w:marRight w:val="0"/>
      <w:marTop w:val="0"/>
      <w:marBottom w:val="0"/>
      <w:divBdr>
        <w:top w:val="none" w:sz="0" w:space="0" w:color="auto"/>
        <w:left w:val="none" w:sz="0" w:space="0" w:color="auto"/>
        <w:bottom w:val="none" w:sz="0" w:space="0" w:color="auto"/>
        <w:right w:val="none" w:sz="0" w:space="0" w:color="auto"/>
      </w:divBdr>
    </w:div>
    <w:div w:id="622423267">
      <w:bodyDiv w:val="1"/>
      <w:marLeft w:val="0"/>
      <w:marRight w:val="0"/>
      <w:marTop w:val="0"/>
      <w:marBottom w:val="0"/>
      <w:divBdr>
        <w:top w:val="none" w:sz="0" w:space="0" w:color="auto"/>
        <w:left w:val="none" w:sz="0" w:space="0" w:color="auto"/>
        <w:bottom w:val="none" w:sz="0" w:space="0" w:color="auto"/>
        <w:right w:val="none" w:sz="0" w:space="0" w:color="auto"/>
      </w:divBdr>
    </w:div>
    <w:div w:id="2050034981">
      <w:bodyDiv w:val="1"/>
      <w:marLeft w:val="0"/>
      <w:marRight w:val="0"/>
      <w:marTop w:val="0"/>
      <w:marBottom w:val="0"/>
      <w:divBdr>
        <w:top w:val="none" w:sz="0" w:space="0" w:color="auto"/>
        <w:left w:val="none" w:sz="0" w:space="0" w:color="auto"/>
        <w:bottom w:val="none" w:sz="0" w:space="0" w:color="auto"/>
        <w:right w:val="none" w:sz="0" w:space="0" w:color="auto"/>
      </w:divBdr>
      <w:divsChild>
        <w:div w:id="1766803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4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7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4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paaa1979389/s78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D946-B995-4390-9E16-8270A29A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1185</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This Deed is made the          day of        2003</vt:lpstr>
    </vt:vector>
  </TitlesOfParts>
  <Company>Waverley Council</Company>
  <LinksUpToDate>false</LinksUpToDate>
  <CharactersWithSpaces>8034</CharactersWithSpaces>
  <SharedDoc>false</SharedDoc>
  <HLinks>
    <vt:vector size="6" baseType="variant">
      <vt:variant>
        <vt:i4>720951</vt:i4>
      </vt:variant>
      <vt:variant>
        <vt:i4>3</vt:i4>
      </vt:variant>
      <vt:variant>
        <vt:i4>0</vt:i4>
      </vt:variant>
      <vt:variant>
        <vt:i4>5</vt:i4>
      </vt:variant>
      <vt:variant>
        <vt:lpwstr>http://www.austlii.edu.au/au/legis/nsw/consol_act/epaaa1979389/s78a.html</vt:lpwstr>
      </vt:variant>
      <vt:variant>
        <vt:lpwstr>development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Deed is made the          day of        2003</dc:title>
  <dc:creator>Aimee Mursell</dc:creator>
  <cp:lastModifiedBy>Gabrielle Coleman</cp:lastModifiedBy>
  <cp:revision>3</cp:revision>
  <cp:lastPrinted>2018-05-07T06:58:00Z</cp:lastPrinted>
  <dcterms:created xsi:type="dcterms:W3CDTF">2018-05-07T23:33:00Z</dcterms:created>
  <dcterms:modified xsi:type="dcterms:W3CDTF">2018-05-07T23:47:00Z</dcterms:modified>
</cp:coreProperties>
</file>